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1-386383sds_citigreenfloor_fr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CITICLEAN</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2026-04-07</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1-386383sds_citigreenfloor_fr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0" w:name="X509585d628fdfbdc2c5aeb374897db132d9666c"/>
    <w:p>
      <w:pPr>
        <w:pStyle w:val="Heading1"/>
      </w:pPr>
      <w:r>
        <w:t xml:space="preserve">Analyse des dangers : 1-386383sds_citigreenfloor_fr</w:t>
      </w:r>
    </w:p>
    <w:p>
      <w:pPr>
        <w:pStyle w:val="FirstParagraph"/>
      </w:pPr>
      <w:r>
        <w:t xml:space="preserve">Dans la suite, nous détaillons les dangers associés au produit</w:t>
      </w:r>
      <w:r>
        <w:t xml:space="preserve"> </w:t>
      </w:r>
      <w:r>
        <w:rPr>
          <w:b/>
          <w:bCs/>
        </w:rPr>
        <w:t xml:space="preserve">1-386383sds_citigreenfloor_fr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CITICLEAN</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7 (6 – 8)</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L’utilisation prévue de ce produit est industrielle.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2023-10-23</w:t>
            </w:r>
          </w:p>
        </w:tc>
      </w:tr>
    </w:tbl>
    <w:p>
      <w:pPr>
        <w:pStyle w:val="BodyText"/>
      </w:pPr>
      <w:r>
        <w:t xml:space="preserve"> </w:t>
      </w:r>
      <w:r>
        <w:t xml:space="preserve">La FDS date du 2023-10-23.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w:t>
      </w:r>
    </w:p>
    <w:p>
      <w:pPr>
        <w:pStyle w:val="Compact"/>
        <w:numPr>
          <w:ilvl w:val="0"/>
          <w:numId w:val="1003"/>
        </w:numPr>
      </w:pPr>
      <w:r>
        <w:t xml:space="preserve">RID : -</w:t>
      </w:r>
    </w:p>
    <w:p>
      <w:pPr>
        <w:pStyle w:val="Compact"/>
        <w:numPr>
          <w:ilvl w:val="0"/>
          <w:numId w:val="1003"/>
        </w:numPr>
      </w:pPr>
      <w:r>
        <w:t xml:space="preserve">ADN : -</w:t>
      </w:r>
    </w:p>
    <w:p>
      <w:pPr>
        <w:pStyle w:val="Compact"/>
        <w:numPr>
          <w:ilvl w:val="0"/>
          <w:numId w:val="1003"/>
        </w:numPr>
      </w:pPr>
      <w:r>
        <w:t xml:space="preserve">IMDG : -</w:t>
      </w:r>
    </w:p>
    <w:p>
      <w:pPr>
        <w:pStyle w:val="Compact"/>
        <w:numPr>
          <w:ilvl w:val="0"/>
          <w:numId w:val="1003"/>
        </w:numPr>
      </w:pPr>
      <w:r>
        <w:t xml:space="preserve">IATA : -</w:t>
      </w:r>
    </w:p>
    <w:p>
      <w:pPr>
        <w:pStyle w:val="Compact"/>
        <w:numPr>
          <w:ilvl w:val="0"/>
          <w:numId w:val="1003"/>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Oter les vêtements touchés.</w:t>
      </w:r>
      <w:r>
        <w:t xml:space="preserve"> </w:t>
      </w:r>
      <w:r>
        <w:t xml:space="preserve">Laver les parties exposées de la peau au moyen d’un savon doux et d’eau.</w:t>
      </w:r>
      <w:r>
        <w:t xml:space="preserve"> </w:t>
      </w:r>
      <w:r>
        <w:t xml:space="preserve">Rincer à l’eau chaude.</w:t>
      </w:r>
    </w:p>
    <w:p>
      <w:pPr>
        <w:pStyle w:val="BodyText"/>
      </w:pPr>
      <w:r>
        <w:t xml:space="preserve">eyes : Rincer immédiatement et abondamment à l’eau.</w:t>
      </w:r>
      <w:r>
        <w:t xml:space="preserve"> </w:t>
      </w:r>
      <w:r>
        <w:t xml:space="preserve">Consulter un médecin si la douleur ou la rougeur persistent.</w:t>
      </w:r>
    </w:p>
    <w:p>
      <w:pPr>
        <w:pStyle w:val="BodyText"/>
      </w:pPr>
      <w:r>
        <w:t xml:space="preserve">ingestion : Rincer la bouche.</w:t>
      </w:r>
      <w:r>
        <w:t xml:space="preserve"> </w:t>
      </w:r>
      <w:r>
        <w:t xml:space="preserve">NE PAS faire vomir.</w:t>
      </w:r>
      <w:r>
        <w:t xml:space="preserve"> </w:t>
      </w:r>
      <w:r>
        <w:t xml:space="preserve">Consulter d’urgence un médecin.</w:t>
      </w:r>
    </w:p>
    <w:p>
      <w:pPr>
        <w:pStyle w:val="BodyText"/>
      </w:pPr>
      <w:r>
        <w:t xml:space="preserve">inhalation : Permettre au sujet de respirer de l’air frais.</w:t>
      </w:r>
      <w:r>
        <w:t xml:space="preserve"> </w:t>
      </w:r>
      <w:r>
        <w:t xml:space="preserve">Mettre la victime au repos.</w:t>
      </w:r>
    </w:p>
    <w:p>
      <w:r>
        <w:br w:type="page"/>
      </w:r>
    </w:p>
    <w:bookmarkEnd w:id="31"/>
    <w:bookmarkStart w:id="47" w:name="Xd3fd47f9279b52cc9d4b00e07bdfde0bea6594f"/>
    <w:p>
      <w:pPr>
        <w:pStyle w:val="Heading2"/>
      </w:pPr>
      <w:r>
        <w:t xml:space="preserve">Informations relatives aux substances dangereuses présentes</w:t>
      </w:r>
    </w:p>
    <w:bookmarkStart w:id="33" w:name="deceth-6"/>
    <w:p>
      <w:pPr>
        <w:pStyle w:val="Heading3"/>
      </w:pPr>
      <w:r>
        <w:t xml:space="preserve">DECETH-6</w:t>
      </w:r>
    </w:p>
    <w:p>
      <w:pPr>
        <w:pStyle w:val="FirstParagraph"/>
      </w:pPr>
      <w:r>
        <w:rPr>
          <w:b/>
          <w:bCs/>
        </w:rPr>
        <w:t xml:space="preserve">Identification</w:t>
      </w:r>
    </w:p>
    <w:p>
      <w:pPr>
        <w:pStyle w:val="Compact"/>
        <w:numPr>
          <w:ilvl w:val="0"/>
          <w:numId w:val="1004"/>
        </w:numPr>
      </w:pPr>
      <w:r>
        <w:t xml:space="preserve">N° CAS : 26183-52-8</w:t>
      </w:r>
    </w:p>
    <w:p>
      <w:pPr>
        <w:pStyle w:val="Compact"/>
        <w:numPr>
          <w:ilvl w:val="0"/>
          <w:numId w:val="1004"/>
        </w:numPr>
      </w:pPr>
      <w:r>
        <w:t xml:space="preserve">N° EINECS : None</w:t>
      </w:r>
    </w:p>
    <w:p>
      <w:pPr>
        <w:pStyle w:val="FirstParagraph"/>
      </w:pPr>
      <w:r>
        <w:rPr>
          <w:b/>
          <w:bCs/>
        </w:rPr>
        <w:t xml:space="preserve">Concentration</w:t>
      </w:r>
      <w:r>
        <w:t xml:space="preserve"> </w:t>
      </w:r>
      <w:r>
        <w:t xml:space="preserve">:from 1.0 to 5.0</w:t>
      </w:r>
    </w:p>
    <w:p>
      <w:pPr>
        <w:pStyle w:val="BodyText"/>
      </w:pPr>
      <w:r>
        <w:rPr>
          <w:b/>
          <w:bCs/>
        </w:rPr>
        <w:t xml:space="preserve">Dangers</w:t>
      </w:r>
      <w:r>
        <w:t xml:space="preserve"> </w:t>
      </w:r>
      <w:r>
        <w:t xml:space="preserve">:</w:t>
      </w:r>
    </w:p>
    <w:p>
      <w:pPr>
        <w:numPr>
          <w:ilvl w:val="0"/>
          <w:numId w:val="1005"/>
        </w:numPr>
      </w:pPr>
      <w:r>
        <w:t xml:space="preserve">H301</w:t>
      </w:r>
      <w:r>
        <w:t xml:space="preserve"> </w:t>
      </w:r>
      <w:r>
        <w:t xml:space="preserve">Toxique en cas d’ingestion.</w:t>
      </w:r>
    </w:p>
    <w:p>
      <w:pPr>
        <w:numPr>
          <w:ilvl w:val="0"/>
          <w:numId w:val="1005"/>
        </w:numPr>
      </w:pPr>
      <w:r>
        <w:t xml:space="preserve">H302</w:t>
      </w:r>
      <w:r>
        <w:t xml:space="preserve"> </w:t>
      </w:r>
      <w:r>
        <w:t xml:space="preserve">Nocif en cas d’ingestion.</w:t>
      </w:r>
    </w:p>
    <w:p>
      <w:pPr>
        <w:numPr>
          <w:ilvl w:val="0"/>
          <w:numId w:val="1005"/>
        </w:numPr>
      </w:pPr>
      <w:r>
        <w:t xml:space="preserve">H310</w:t>
      </w:r>
      <w:r>
        <w:t xml:space="preserve"> </w:t>
      </w:r>
      <w:r>
        <w:t xml:space="preserve">Mortel par contact cutané.</w:t>
      </w:r>
    </w:p>
    <w:p>
      <w:pPr>
        <w:numPr>
          <w:ilvl w:val="0"/>
          <w:numId w:val="1005"/>
        </w:numPr>
      </w:pPr>
      <w:r>
        <w:t xml:space="preserve">H314</w:t>
      </w:r>
      <w:r>
        <w:t xml:space="preserve"> </w:t>
      </w:r>
      <w:r>
        <w:t xml:space="preserve">Provoque des brûlures de la peau et des lésions oculaires graves.</w:t>
      </w:r>
    </w:p>
    <w:p>
      <w:pPr>
        <w:numPr>
          <w:ilvl w:val="0"/>
          <w:numId w:val="1005"/>
        </w:numPr>
      </w:pPr>
      <w:r>
        <w:t xml:space="preserve">H315</w:t>
      </w:r>
      <w:r>
        <w:t xml:space="preserve"> </w:t>
      </w:r>
      <w:r>
        <w:t xml:space="preserve">Provoque une irritation cutanée.</w:t>
      </w:r>
    </w:p>
    <w:p>
      <w:pPr>
        <w:numPr>
          <w:ilvl w:val="0"/>
          <w:numId w:val="1005"/>
        </w:numPr>
      </w:pPr>
      <w:r>
        <w:t xml:space="preserve">H317</w:t>
      </w:r>
      <w:r>
        <w:t xml:space="preserve"> </w:t>
      </w:r>
      <w:r>
        <w:t xml:space="preserve">Peut provoquer une allergie cutanée.</w:t>
      </w:r>
    </w:p>
    <w:p>
      <w:pPr>
        <w:numPr>
          <w:ilvl w:val="0"/>
          <w:numId w:val="1005"/>
        </w:numPr>
      </w:pPr>
      <w:r>
        <w:t xml:space="preserve">H318</w:t>
      </w:r>
      <w:r>
        <w:t xml:space="preserve"> </w:t>
      </w:r>
      <w:r>
        <w:t xml:space="preserve">Provoque des lésions oculaires graves.</w:t>
      </w:r>
    </w:p>
    <w:p>
      <w:pPr>
        <w:numPr>
          <w:ilvl w:val="0"/>
          <w:numId w:val="1005"/>
        </w:numPr>
      </w:pPr>
      <w:r>
        <w:t xml:space="preserve">H319</w:t>
      </w:r>
      <w:r>
        <w:t xml:space="preserve"> </w:t>
      </w:r>
      <w:r>
        <w:t xml:space="preserve">Provoque une sévère irritation des yeux.</w:t>
      </w:r>
    </w:p>
    <w:p>
      <w:pPr>
        <w:numPr>
          <w:ilvl w:val="0"/>
          <w:numId w:val="1005"/>
        </w:numPr>
      </w:pPr>
      <w:r>
        <w:t xml:space="preserve">H330</w:t>
      </w:r>
      <w:r>
        <w:t xml:space="preserve"> </w:t>
      </w:r>
      <w:r>
        <w:t xml:space="preserve">Fatal if inhaled</w:t>
      </w:r>
    </w:p>
    <w:p>
      <w:pPr>
        <w:numPr>
          <w:ilvl w:val="0"/>
          <w:numId w:val="1005"/>
        </w:numPr>
      </w:pPr>
      <w:r>
        <w:t xml:space="preserve">H400</w:t>
      </w:r>
      <w:r>
        <w:t xml:space="preserve"> </w:t>
      </w:r>
      <w:r>
        <w:t xml:space="preserve">Très toxique pour les organismes aquatiques.</w:t>
      </w:r>
    </w:p>
    <w:p>
      <w:pPr>
        <w:numPr>
          <w:ilvl w:val="0"/>
          <w:numId w:val="1005"/>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2" w:name="propriétés"/>
    <w:p>
      <w:pPr>
        <w:pStyle w:val="Heading4"/>
      </w:pPr>
      <w:r>
        <w:t xml:space="preserve">Propriétés</w:t>
      </w:r>
    </w:p>
    <w:p>
      <w:pPr>
        <w:pStyle w:val="FirstParagraph"/>
      </w:pPr>
      <w:r>
        <w:t xml:space="preserve">Pas d’informations disponible.</w:t>
      </w:r>
    </w:p>
    <w:bookmarkEnd w:id="32"/>
    <w:bookmarkEnd w:id="33"/>
    <w:bookmarkStart w:id="35" w:name="methylchloroisothiazolinone-and"/>
    <w:p>
      <w:pPr>
        <w:pStyle w:val="Heading3"/>
      </w:pPr>
      <w:r>
        <w:t xml:space="preserve">METHYLCHLOROISOTHIAZOLINONE (AND)</w:t>
      </w:r>
    </w:p>
    <w:p>
      <w:pPr>
        <w:pStyle w:val="FirstParagraph"/>
      </w:pPr>
      <w:r>
        <w:rPr>
          <w:b/>
          <w:bCs/>
        </w:rPr>
        <w:t xml:space="preserve">Identification</w:t>
      </w:r>
    </w:p>
    <w:p>
      <w:pPr>
        <w:pStyle w:val="Compact"/>
        <w:numPr>
          <w:ilvl w:val="0"/>
          <w:numId w:val="1006"/>
        </w:numPr>
      </w:pPr>
      <w:r>
        <w:t xml:space="preserve">N° CAS : None</w:t>
      </w:r>
    </w:p>
    <w:p>
      <w:pPr>
        <w:pStyle w:val="Compact"/>
        <w:numPr>
          <w:ilvl w:val="0"/>
          <w:numId w:val="1006"/>
        </w:numPr>
      </w:pPr>
      <w:r>
        <w:t xml:space="preserve">N° EINECS : None</w:t>
      </w:r>
    </w:p>
    <w:p>
      <w:pPr>
        <w:pStyle w:val="FirstParagraph"/>
      </w:pPr>
      <w:r>
        <w:rPr>
          <w:b/>
          <w:bCs/>
        </w:rPr>
        <w:t xml:space="preserve">Concentration</w:t>
      </w:r>
      <w:r>
        <w:t xml:space="preserve"> </w:t>
      </w:r>
      <w:r>
        <w:t xml:space="preserve">:less or equal to 0.1</w:t>
      </w:r>
    </w:p>
    <w:p>
      <w:pPr>
        <w:pStyle w:val="BodyText"/>
      </w:pPr>
      <w:r>
        <w:rPr>
          <w:b/>
          <w:bCs/>
        </w:rPr>
        <w:t xml:space="preserve">Dangers</w:t>
      </w:r>
      <w:r>
        <w:t xml:space="preserve"> </w:t>
      </w:r>
      <w:r>
        <w:t xml:space="preserve">:</w:t>
      </w:r>
    </w:p>
    <w:p>
      <w:pPr>
        <w:numPr>
          <w:ilvl w:val="0"/>
          <w:numId w:val="1007"/>
        </w:numPr>
      </w:pPr>
      <w:r>
        <w:t xml:space="preserve">H301</w:t>
      </w:r>
      <w:r>
        <w:t xml:space="preserve"> </w:t>
      </w:r>
      <w:r>
        <w:t xml:space="preserve">Toxique en cas d’ingestion.</w:t>
      </w:r>
    </w:p>
    <w:p>
      <w:pPr>
        <w:numPr>
          <w:ilvl w:val="0"/>
          <w:numId w:val="1007"/>
        </w:numPr>
      </w:pPr>
      <w:r>
        <w:t xml:space="preserve">H302</w:t>
      </w:r>
      <w:r>
        <w:t xml:space="preserve"> </w:t>
      </w:r>
      <w:r>
        <w:t xml:space="preserve">Nocif en cas d’ingestion.</w:t>
      </w:r>
    </w:p>
    <w:p>
      <w:pPr>
        <w:numPr>
          <w:ilvl w:val="0"/>
          <w:numId w:val="1007"/>
        </w:numPr>
      </w:pPr>
      <w:r>
        <w:t xml:space="preserve">H310</w:t>
      </w:r>
      <w:r>
        <w:t xml:space="preserve"> </w:t>
      </w:r>
      <w:r>
        <w:t xml:space="preserve">Mortel par contact cutané.</w:t>
      </w:r>
    </w:p>
    <w:p>
      <w:pPr>
        <w:numPr>
          <w:ilvl w:val="0"/>
          <w:numId w:val="1007"/>
        </w:numPr>
      </w:pPr>
      <w:r>
        <w:t xml:space="preserve">H314</w:t>
      </w:r>
      <w:r>
        <w:t xml:space="preserve"> </w:t>
      </w:r>
      <w:r>
        <w:t xml:space="preserve">Provoque des brûlures de la peau et des lésions oculaires graves.</w:t>
      </w:r>
    </w:p>
    <w:p>
      <w:pPr>
        <w:numPr>
          <w:ilvl w:val="0"/>
          <w:numId w:val="1007"/>
        </w:numPr>
      </w:pPr>
      <w:r>
        <w:t xml:space="preserve">H315</w:t>
      </w:r>
      <w:r>
        <w:t xml:space="preserve"> </w:t>
      </w:r>
      <w:r>
        <w:t xml:space="preserve">Provoque une irritation cutanée.</w:t>
      </w:r>
    </w:p>
    <w:p>
      <w:pPr>
        <w:numPr>
          <w:ilvl w:val="0"/>
          <w:numId w:val="1007"/>
        </w:numPr>
      </w:pPr>
      <w:r>
        <w:t xml:space="preserve">H317</w:t>
      </w:r>
      <w:r>
        <w:t xml:space="preserve"> </w:t>
      </w:r>
      <w:r>
        <w:t xml:space="preserve">Peut provoquer une allergie cutanée.</w:t>
      </w:r>
    </w:p>
    <w:p>
      <w:pPr>
        <w:numPr>
          <w:ilvl w:val="0"/>
          <w:numId w:val="1007"/>
        </w:numPr>
      </w:pPr>
      <w:r>
        <w:t xml:space="preserve">H318</w:t>
      </w:r>
      <w:r>
        <w:t xml:space="preserve"> </w:t>
      </w:r>
      <w:r>
        <w:t xml:space="preserve">Provoque des lésions oculaires graves.</w:t>
      </w:r>
    </w:p>
    <w:p>
      <w:pPr>
        <w:numPr>
          <w:ilvl w:val="0"/>
          <w:numId w:val="1007"/>
        </w:numPr>
      </w:pPr>
      <w:r>
        <w:t xml:space="preserve">H319</w:t>
      </w:r>
      <w:r>
        <w:t xml:space="preserve"> </w:t>
      </w:r>
      <w:r>
        <w:t xml:space="preserve">Provoque une sévère irritation des yeux.</w:t>
      </w:r>
    </w:p>
    <w:p>
      <w:pPr>
        <w:numPr>
          <w:ilvl w:val="0"/>
          <w:numId w:val="1007"/>
        </w:numPr>
      </w:pPr>
      <w:r>
        <w:t xml:space="preserve">H330</w:t>
      </w:r>
      <w:r>
        <w:t xml:space="preserve"> </w:t>
      </w:r>
      <w:r>
        <w:t xml:space="preserve">Fatal if inhaled</w:t>
      </w:r>
    </w:p>
    <w:p>
      <w:pPr>
        <w:numPr>
          <w:ilvl w:val="0"/>
          <w:numId w:val="1007"/>
        </w:numPr>
      </w:pPr>
      <w:r>
        <w:t xml:space="preserve">H400</w:t>
      </w:r>
      <w:r>
        <w:t xml:space="preserve"> </w:t>
      </w:r>
      <w:r>
        <w:t xml:space="preserve">Très toxique pour les organismes aquatiques.</w:t>
      </w:r>
    </w:p>
    <w:p>
      <w:pPr>
        <w:numPr>
          <w:ilvl w:val="0"/>
          <w:numId w:val="1007"/>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4" w:name="propriétés-1"/>
    <w:p>
      <w:pPr>
        <w:pStyle w:val="Heading4"/>
      </w:pPr>
      <w:r>
        <w:t xml:space="preserve">Propriétés</w:t>
      </w:r>
    </w:p>
    <w:p>
      <w:pPr>
        <w:pStyle w:val="FirstParagraph"/>
      </w:pPr>
      <w:r>
        <w:t xml:space="preserve">Pas d’informations disponible.</w:t>
      </w:r>
    </w:p>
    <w:bookmarkEnd w:id="34"/>
    <w:bookmarkEnd w:id="35"/>
    <w:bookmarkStart w:id="46" w:name="methylisothiazolinone"/>
    <w:p>
      <w:pPr>
        <w:pStyle w:val="Heading3"/>
      </w:pPr>
      <w:r>
        <w:t xml:space="preserve">METHYLISOTHIAZOLINONE</w:t>
      </w:r>
    </w:p>
    <w:p>
      <w:pPr>
        <w:pStyle w:val="FirstParagraph"/>
      </w:pPr>
      <w:r>
        <w:rPr>
          <w:b/>
          <w:bCs/>
        </w:rPr>
        <w:t xml:space="preserve">Identification</w:t>
      </w:r>
    </w:p>
    <w:p>
      <w:pPr>
        <w:pStyle w:val="Compact"/>
        <w:numPr>
          <w:ilvl w:val="0"/>
          <w:numId w:val="1008"/>
        </w:numPr>
      </w:pPr>
      <w:r>
        <w:t xml:space="preserve">N° CAS : 55965-84-9</w:t>
      </w:r>
    </w:p>
    <w:p>
      <w:pPr>
        <w:pStyle w:val="Compact"/>
        <w:numPr>
          <w:ilvl w:val="0"/>
          <w:numId w:val="1008"/>
        </w:numPr>
      </w:pPr>
      <w:r>
        <w:t xml:space="preserve">N° EINECS : None</w:t>
      </w:r>
    </w:p>
    <w:p>
      <w:pPr>
        <w:pStyle w:val="FirstParagraph"/>
      </w:pPr>
      <w:r>
        <w:rPr>
          <w:b/>
          <w:bCs/>
        </w:rPr>
        <w:t xml:space="preserve">Concentration</w:t>
      </w:r>
      <w:r>
        <w:t xml:space="preserve"> </w:t>
      </w:r>
      <w:r>
        <w:t xml:space="preserve">:from 0.0015 to 100.0</w:t>
      </w:r>
    </w:p>
    <w:p>
      <w:pPr>
        <w:pStyle w:val="BodyText"/>
      </w:pPr>
      <w:r>
        <w:rPr>
          <w:b/>
          <w:bCs/>
        </w:rPr>
        <w:t xml:space="preserve">Dangers</w:t>
      </w:r>
      <w:r>
        <w:t xml:space="preserve"> </w:t>
      </w:r>
      <w:r>
        <w:t xml:space="preserve">:</w:t>
      </w:r>
    </w:p>
    <w:p>
      <w:pPr>
        <w:numPr>
          <w:ilvl w:val="0"/>
          <w:numId w:val="1009"/>
        </w:numPr>
      </w:pPr>
      <w:r>
        <w:t xml:space="preserve">H301</w:t>
      </w:r>
      <w:r>
        <w:t xml:space="preserve"> </w:t>
      </w:r>
      <w:r>
        <w:t xml:space="preserve">Toxique en cas d’ingestion.</w:t>
      </w:r>
    </w:p>
    <w:p>
      <w:pPr>
        <w:numPr>
          <w:ilvl w:val="0"/>
          <w:numId w:val="1009"/>
        </w:numPr>
      </w:pPr>
      <w:r>
        <w:t xml:space="preserve">H302</w:t>
      </w:r>
      <w:r>
        <w:t xml:space="preserve"> </w:t>
      </w:r>
      <w:r>
        <w:t xml:space="preserve">Nocif en cas d’ingestion.</w:t>
      </w:r>
    </w:p>
    <w:p>
      <w:pPr>
        <w:numPr>
          <w:ilvl w:val="0"/>
          <w:numId w:val="1009"/>
        </w:numPr>
      </w:pPr>
      <w:r>
        <w:t xml:space="preserve">H310</w:t>
      </w:r>
      <w:r>
        <w:t xml:space="preserve"> </w:t>
      </w:r>
      <w:r>
        <w:t xml:space="preserve">Mortel par contact cutané.</w:t>
      </w:r>
    </w:p>
    <w:p>
      <w:pPr>
        <w:numPr>
          <w:ilvl w:val="0"/>
          <w:numId w:val="1009"/>
        </w:numPr>
      </w:pPr>
      <w:r>
        <w:t xml:space="preserve">H314</w:t>
      </w:r>
      <w:r>
        <w:t xml:space="preserve"> </w:t>
      </w:r>
      <w:r>
        <w:t xml:space="preserve">Provoque des brûlures de la peau et des lésions oculaires graves.</w:t>
      </w:r>
    </w:p>
    <w:p>
      <w:pPr>
        <w:numPr>
          <w:ilvl w:val="0"/>
          <w:numId w:val="1009"/>
        </w:numPr>
      </w:pPr>
      <w:r>
        <w:t xml:space="preserve">H315</w:t>
      </w:r>
      <w:r>
        <w:t xml:space="preserve"> </w:t>
      </w:r>
      <w:r>
        <w:t xml:space="preserve">Provoque une irritation cutanée.</w:t>
      </w:r>
    </w:p>
    <w:p>
      <w:pPr>
        <w:numPr>
          <w:ilvl w:val="0"/>
          <w:numId w:val="1009"/>
        </w:numPr>
      </w:pPr>
      <w:r>
        <w:t xml:space="preserve">H317</w:t>
      </w:r>
      <w:r>
        <w:t xml:space="preserve"> </w:t>
      </w:r>
      <w:r>
        <w:t xml:space="preserve">Peut provoquer une allergie cutanée.</w:t>
      </w:r>
    </w:p>
    <w:p>
      <w:pPr>
        <w:numPr>
          <w:ilvl w:val="0"/>
          <w:numId w:val="1009"/>
        </w:numPr>
      </w:pPr>
      <w:r>
        <w:t xml:space="preserve">H318</w:t>
      </w:r>
      <w:r>
        <w:t xml:space="preserve"> </w:t>
      </w:r>
      <w:r>
        <w:t xml:space="preserve">Provoque des lésions oculaires graves.</w:t>
      </w:r>
    </w:p>
    <w:p>
      <w:pPr>
        <w:numPr>
          <w:ilvl w:val="0"/>
          <w:numId w:val="1009"/>
        </w:numPr>
      </w:pPr>
      <w:r>
        <w:t xml:space="preserve">H319</w:t>
      </w:r>
      <w:r>
        <w:t xml:space="preserve"> </w:t>
      </w:r>
      <w:r>
        <w:t xml:space="preserve">Provoque une sévère irritation des yeux.</w:t>
      </w:r>
    </w:p>
    <w:p>
      <w:pPr>
        <w:numPr>
          <w:ilvl w:val="0"/>
          <w:numId w:val="1009"/>
        </w:numPr>
      </w:pPr>
      <w:r>
        <w:t xml:space="preserve">H330</w:t>
      </w:r>
      <w:r>
        <w:t xml:space="preserve"> </w:t>
      </w:r>
      <w:r>
        <w:t xml:space="preserve">Fatal if inhaled.</w:t>
      </w:r>
    </w:p>
    <w:p>
      <w:pPr>
        <w:numPr>
          <w:ilvl w:val="0"/>
          <w:numId w:val="1009"/>
        </w:numPr>
      </w:pPr>
      <w:r>
        <w:t xml:space="preserve">H400</w:t>
      </w:r>
      <w:r>
        <w:t xml:space="preserve"> </w:t>
      </w:r>
      <w:r>
        <w:t xml:space="preserve">Très toxique pour les organismes aquatiques.</w:t>
      </w:r>
    </w:p>
    <w:p>
      <w:pPr>
        <w:numPr>
          <w:ilvl w:val="0"/>
          <w:numId w:val="1009"/>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5" w:name="propriétés-2"/>
    <w:p>
      <w:pPr>
        <w:pStyle w:val="Heading4"/>
      </w:pPr>
      <w:r>
        <w:t xml:space="preserve">Propriétés</w:t>
      </w:r>
    </w:p>
    <w:p>
      <w:pPr>
        <w:pStyle w:val="FirstParagraph"/>
      </w:pPr>
      <w:hyperlink r:id="rId36">
        <w:r>
          <w:rPr>
            <w:rStyle w:val="Hyperlink"/>
            <w:color w:val="0856A0"/>
            <w:u w:val="single"/>
          </w:rPr>
          <w:t xml:space="preserve">Fiche n°290 - CMIT / MIT</w:t>
        </w:r>
      </w:hyperlink>
    </w:p>
    <w:p>
      <w:pPr>
        <w:numPr>
          <w:ilvl w:val="0"/>
          <w:numId w:val="1010"/>
        </w:numPr>
      </w:pPr>
      <w:hyperlink r:id="rId37">
        <w:r>
          <w:rPr>
            <w:rStyle w:val="Hyperlink"/>
            <w:color w:val="0856A0"/>
            <w:u w:val="single"/>
          </w:rPr>
          <w:t xml:space="preserve">Généralités</w:t>
        </w:r>
      </w:hyperlink>
    </w:p>
    <w:p>
      <w:pPr>
        <w:numPr>
          <w:ilvl w:val="0"/>
          <w:numId w:val="1010"/>
        </w:numPr>
      </w:pPr>
      <w:hyperlink r:id="rId38">
        <w:r>
          <w:rPr>
            <w:rStyle w:val="Hyperlink"/>
            <w:color w:val="0856A0"/>
            <w:u w:val="single"/>
          </w:rPr>
          <w:t xml:space="preserve">Caractéristiques</w:t>
        </w:r>
      </w:hyperlink>
    </w:p>
    <w:p>
      <w:pPr>
        <w:numPr>
          <w:ilvl w:val="0"/>
          <w:numId w:val="1010"/>
        </w:numPr>
      </w:pPr>
      <w:hyperlink r:id="rId39">
        <w:r>
          <w:rPr>
            <w:rStyle w:val="Hyperlink"/>
            <w:color w:val="0856A0"/>
            <w:u w:val="single"/>
          </w:rPr>
          <w:t xml:space="preserve">VLEPMesurage</w:t>
        </w:r>
      </w:hyperlink>
    </w:p>
    <w:p>
      <w:pPr>
        <w:numPr>
          <w:ilvl w:val="0"/>
          <w:numId w:val="1010"/>
        </w:numPr>
      </w:pPr>
      <w:hyperlink r:id="rId40">
        <w:r>
          <w:rPr>
            <w:rStyle w:val="Hyperlink"/>
            <w:color w:val="0856A0"/>
            <w:u w:val="single"/>
          </w:rPr>
          <w:t xml:space="preserve">Incendie - Explosion[3, 5]</w:t>
        </w:r>
      </w:hyperlink>
    </w:p>
    <w:p>
      <w:pPr>
        <w:numPr>
          <w:ilvl w:val="0"/>
          <w:numId w:val="1010"/>
        </w:numPr>
      </w:pPr>
      <w:hyperlink r:id="rId41">
        <w:r>
          <w:rPr>
            <w:rStyle w:val="Hyperlink"/>
            <w:color w:val="0856A0"/>
            <w:u w:val="single"/>
          </w:rPr>
          <w:t xml:space="preserve">Pathologie - Toxicologie</w:t>
        </w:r>
      </w:hyperlink>
    </w:p>
    <w:p>
      <w:pPr>
        <w:numPr>
          <w:ilvl w:val="0"/>
          <w:numId w:val="1010"/>
        </w:numPr>
      </w:pPr>
      <w:hyperlink r:id="rId42">
        <w:r>
          <w:rPr>
            <w:rStyle w:val="Hyperlink"/>
            <w:color w:val="0856A0"/>
            <w:u w:val="single"/>
          </w:rPr>
          <w:t xml:space="preserve">Règlementation</w:t>
        </w:r>
      </w:hyperlink>
    </w:p>
    <w:p>
      <w:pPr>
        <w:numPr>
          <w:ilvl w:val="0"/>
          <w:numId w:val="1010"/>
        </w:numPr>
      </w:pPr>
      <w:hyperlink r:id="rId43">
        <w:r>
          <w:rPr>
            <w:rStyle w:val="Hyperlink"/>
            <w:color w:val="0856A0"/>
            <w:u w:val="single"/>
          </w:rPr>
          <w:t xml:space="preserve">Recommandations</w:t>
        </w:r>
      </w:hyperlink>
    </w:p>
    <w:p>
      <w:pPr>
        <w:numPr>
          <w:ilvl w:val="0"/>
          <w:numId w:val="1010"/>
        </w:numPr>
      </w:pPr>
      <w:hyperlink r:id="rId44">
        <w:r>
          <w:rPr>
            <w:rStyle w:val="Hyperlink"/>
            <w:color w:val="0856A0"/>
            <w:u w:val="single"/>
          </w:rPr>
          <w:t xml:space="preserve">Bibliographie</w:t>
        </w:r>
      </w:hyperlink>
    </w:p>
    <w:bookmarkEnd w:id="45"/>
    <w:bookmarkEnd w:id="46"/>
    <w:bookmarkEnd w:id="47"/>
    <w:bookmarkStart w:id="48"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Porter des gants lorsqu’il y a contact répété ou prolongé. Aucun détail sur le type de gants, matériau, épaisseur ou temps de perçage n’est fourni.</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Utiliser une protection oculaire uniquement en présence de risque d’éclaboussures ou de projections de liquide. Le document ne précise pas le type de lunettes, écran facial, matériau, taille ou niveau de protection.</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Porter des gants lorsqu’il y a contact répété ou prolongé. Aucun détail sur le type de gants, matériau, épaisseur ou temps de perçage n’est fourni.</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Le document ne mentionne pas de masque, filtre ou niveau de protection respiratoire requis.</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Le document ne précise pas de combinaison, matériau, type ou niveau de protection requis.</w:t>
            </w:r>
          </w:p>
        </w:tc>
      </w:tr>
    </w:tbl>
    <w:bookmarkEnd w:id="48"/>
    <w:bookmarkStart w:id="49"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Se laver les mains et toute autre zone exposée avec un savon doux et de l’eau, avant de manger, de boire, de fumer, et avant de quitter le travail. - Assurer une bonne ventilation de la zone de travail afin d’éviter la formation de vapeurs.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Conserver uniquement dans le récipient d’origine, dans un endroit frais et bien ventilé, à l’écart des rayons directs du soleil. Garder les conteneurs fermés lorsqu’ils ne sont pas utilisés.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L’utilisation prévue de ce produit est industrielle.</w:t>
            </w:r>
          </w:p>
        </w:tc>
      </w:tr>
    </w:tbl>
    <w:bookmarkEnd w:id="49"/>
    <w:bookmarkEnd w:id="50"/>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 Id="rId36" Type="http://schemas.openxmlformats.org/officeDocument/2006/relationships/hyperlink" Target="https://www.inrs.fr/publications/bdd/fichetox/fiche.html?refINRS=FICHETOX_290" TargetMode="External"/><Relationship Id="rId39" Type="http://schemas.openxmlformats.org/officeDocument/2006/relationships/hyperlink" Target="https://www.inrs.fr/publications/bdd/fichetox/fiche.html?refINRS=FICHETOX_290&amp;section=VLEPMesurage" TargetMode="External"/><Relationship Id="rId44" Type="http://schemas.openxmlformats.org/officeDocument/2006/relationships/hyperlink" Target="https://www.inrs.fr/publications/bdd/fichetox/fiche.html?refINRS=FICHETOX_290&amp;section=bibliographieAuteurs" TargetMode="External"/><Relationship Id="rId38" Type="http://schemas.openxmlformats.org/officeDocument/2006/relationships/hyperlink" Target="https://www.inrs.fr/publications/bdd/fichetox/fiche.html?refINRS=FICHETOX_290&amp;section=caracteristiques" TargetMode="External"/><Relationship Id="rId37" Type="http://schemas.openxmlformats.org/officeDocument/2006/relationships/hyperlink" Target="https://www.inrs.fr/publications/bdd/fichetox/fiche.html?refINRS=FICHETOX_290&amp;section=generalites" TargetMode="External"/><Relationship Id="rId40" Type="http://schemas.openxmlformats.org/officeDocument/2006/relationships/hyperlink" Target="https://www.inrs.fr/publications/bdd/fichetox/fiche.html?refINRS=FICHETOX_290&amp;section=incendieExplosion" TargetMode="External"/><Relationship Id="rId41" Type="http://schemas.openxmlformats.org/officeDocument/2006/relationships/hyperlink" Target="https://www.inrs.fr/publications/bdd/fichetox/fiche.html?refINRS=FICHETOX_290&amp;section=pathologieToxicologie" TargetMode="External"/><Relationship Id="rId43" Type="http://schemas.openxmlformats.org/officeDocument/2006/relationships/hyperlink" Target="https://www.inrs.fr/publications/bdd/fichetox/fiche.html?refINRS=FICHETOX_290&amp;section=recommandations" TargetMode="External"/><Relationship Id="rId42" Type="http://schemas.openxmlformats.org/officeDocument/2006/relationships/hyperlink" Target="https://www.inrs.fr/publications/bdd/fichetox/fiche.html?refINRS=FICHETOX_290&amp;section=reglementation" TargetMode="External"/></Relationships>
</file>

<file path=word/_rels/footnotes.xml.rels><?xml version='1.0' encoding='UTF-8' standalone='yes'?>
<Relationships xmlns="http://schemas.openxmlformats.org/package/2006/relationships"><Relationship Id="rId36" Type="http://schemas.openxmlformats.org/officeDocument/2006/relationships/hyperlink" Target="https://www.inrs.fr/publications/bdd/fichetox/fiche.html?refINRS=FICHETOX_290" TargetMode="External"/><Relationship Id="rId39" Type="http://schemas.openxmlformats.org/officeDocument/2006/relationships/hyperlink" Target="https://www.inrs.fr/publications/bdd/fichetox/fiche.html?refINRS=FICHETOX_290&amp;section=VLEPMesurage" TargetMode="External"/><Relationship Id="rId44" Type="http://schemas.openxmlformats.org/officeDocument/2006/relationships/hyperlink" Target="https://www.inrs.fr/publications/bdd/fichetox/fiche.html?refINRS=FICHETOX_290&amp;section=bibliographieAuteurs" TargetMode="External"/><Relationship Id="rId38" Type="http://schemas.openxmlformats.org/officeDocument/2006/relationships/hyperlink" Target="https://www.inrs.fr/publications/bdd/fichetox/fiche.html?refINRS=FICHETOX_290&amp;section=caracteristiques" TargetMode="External"/><Relationship Id="rId37" Type="http://schemas.openxmlformats.org/officeDocument/2006/relationships/hyperlink" Target="https://www.inrs.fr/publications/bdd/fichetox/fiche.html?refINRS=FICHETOX_290&amp;section=generalites" TargetMode="External"/><Relationship Id="rId40" Type="http://schemas.openxmlformats.org/officeDocument/2006/relationships/hyperlink" Target="https://www.inrs.fr/publications/bdd/fichetox/fiche.html?refINRS=FICHETOX_290&amp;section=incendieExplosion" TargetMode="External"/><Relationship Id="rId41" Type="http://schemas.openxmlformats.org/officeDocument/2006/relationships/hyperlink" Target="https://www.inrs.fr/publications/bdd/fichetox/fiche.html?refINRS=FICHETOX_290&amp;section=pathologieToxicologie" TargetMode="External"/><Relationship Id="rId43" Type="http://schemas.openxmlformats.org/officeDocument/2006/relationships/hyperlink" Target="https://www.inrs.fr/publications/bdd/fichetox/fiche.html?refINRS=FICHETOX_290&amp;section=recommandations" TargetMode="External"/><Relationship Id="rId42" Type="http://schemas.openxmlformats.org/officeDocument/2006/relationships/hyperlink" Target="https://www.inrs.fr/publications/bdd/fichetox/fiche.html?refINRS=FICHETOX_290&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2026-04-07T16:31:19Z</dcterms:created>
  <dcterms:modified xsi:type="dcterms:W3CDTF">2026-04-07T16:31:19Z</dcterms:modified>
</cp:coreProperties>
</file>

<file path=docProps/custom.xml><?xml version="1.0" encoding="utf-8"?>
<Properties xmlns="http://schemas.openxmlformats.org/officeDocument/2006/custom-properties" xmlns:vt="http://schemas.openxmlformats.org/officeDocument/2006/docPropsVTypes"/>
</file>