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1-387354sds_citigreensanitaryspray_fr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CITICLEAN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1-387354sds_citigreensanitaryspray_fr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02dd2e7598ff070ddf4312bcfe0b4873a3d3de4"/>
    <w:p>
      <w:pPr>
        <w:pStyle w:val="Heading1"/>
      </w:pPr>
      <w:r>
        <w:t xml:space="preserve">Analyse des dangers : 1-387354sds_citigreensanitaryspray_fr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1-387354sds_citigreensanitaryspray_fr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CITICLEAN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industriel/professionnel.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2023-02-07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2023-02-07.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Citric Acid devrait être classée H335 selon les dernières classifications harmonisées publiées par l’ECHA.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Oter les vêtements touchés.</w:t>
      </w:r>
      <w:r>
        <w:t xml:space="preserve"> </w:t>
      </w:r>
      <w:r>
        <w:t xml:space="preserve">- Laver les parties exposées de la peau avec un savon doux et de l’eau.</w:t>
      </w:r>
      <w:r>
        <w:t xml:space="preserve"> </w:t>
      </w:r>
      <w:r>
        <w:t xml:space="preserve">- Rincer à l’eau chaude.</w:t>
      </w:r>
    </w:p>
    <w:p>
      <w:pPr>
        <w:pStyle w:val="BodyText"/>
      </w:pPr>
      <w:r>
        <w:t xml:space="preserve">eyes : - Rincer immédiatement et abondamment à l’eau.</w:t>
      </w:r>
      <w:r>
        <w:t xml:space="preserve"> </w:t>
      </w:r>
      <w:r>
        <w:t xml:space="preserve">- Consulter un médecin si la douleur ou la rougeur persistent.</w:t>
      </w:r>
    </w:p>
    <w:p>
      <w:pPr>
        <w:pStyle w:val="BodyText"/>
      </w:pPr>
      <w:r>
        <w:t xml:space="preserve">ingestion : - Rincer la bouche.</w:t>
      </w:r>
      <w:r>
        <w:t xml:space="preserve"> </w:t>
      </w:r>
      <w:r>
        <w:t xml:space="preserve">- NE PAS faire vomir.</w:t>
      </w:r>
      <w:r>
        <w:t xml:space="preserve"> </w:t>
      </w:r>
      <w:r>
        <w:t xml:space="preserve">- Consulter d’urgence un médecin.</w:t>
      </w:r>
    </w:p>
    <w:p>
      <w:pPr>
        <w:pStyle w:val="BodyText"/>
      </w:pPr>
      <w:r>
        <w:t xml:space="preserve">inhalation : - Permettre au sujet de respirer de l’air frais.</w:t>
      </w:r>
      <w:r>
        <w:t xml:space="preserve"> </w:t>
      </w:r>
      <w:r>
        <w:t xml:space="preserve">- Mettre la victime au repos.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citric-acid"/>
    <w:p>
      <w:pPr>
        <w:pStyle w:val="Heading3"/>
      </w:pPr>
      <w:r>
        <w:t xml:space="preserve">Citric Acid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5949-29-1</w:t>
      </w:r>
    </w:p>
    <w:p>
      <w:pPr>
        <w:pStyle w:val="Compact"/>
        <w:numPr>
          <w:ilvl w:val="0"/>
          <w:numId w:val="1005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cas de contact répété ou prolongé, porter des 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laver les mains et toute autre zone exposée avec un savon doux et de l’eau, avant de manger, de boire, de fumer, et avant de quitter le travail; assurer une bonne ventilation de la zone de travail afin d’éviter la formation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uniquement dans le récipient d’origine dans un endroit frais et bien ventilé, à l’écart des rayons directs du soleil; garder les conteneurs fermés lorsqu’ils ne sont pas utilisés.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industriel/professionnel.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2026-04-07T16:31:36Z</dcterms:created>
  <dcterms:modified xsi:type="dcterms:W3CDTF">2026-04-07T16:31:36Z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