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Relationship Id="rId3" Type="http://schemas.openxmlformats.org/package/2006/relationships/metadata/core-properties" Target="docProps/core.xml"/><Relationship Id="rId5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sdt>
      <w:sdtPr>
        <w:docPartObj>
          <w:docPartGallery w:val="Table of Contents"/>
          <w:docPartUnique/>
        </w:docPartObj>
      </w:sdtPr>
      <w:sdtContent>
        <w:p>
          <w:pPr>
            <w:pStyle w:val="TOCHeading"/>
          </w:pPr>
          <w:r>
            <w:t xml:space="preserve">Table of Contents</w:t>
          </w:r>
        </w:p>
        <w:p>
          <w:r>
            <w:fldChar w:fldCharType="begin" w:dirty="true"/>
            <w:instrText xml:space="preserve">TOC \o "1-3" \h \z \u</w:instrText>
            <w:fldChar w:fldCharType="separate"/>
            <w:fldChar w:fldCharType="end"/>
          </w:r>
        </w:p>
      </w:sdtContent>
    </w:sdt>
    <w:p>
      <w:r>
        <w:br w:type="page"/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0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960"/>
        <w:gridCol w:w="3960"/>
      </w:tblGrid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Tilte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EmilIA – Analyse des dangers du produit 1-387355sds_citigreenglassspray_fr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Company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CITICLEAN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2026-04-07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Version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Rev0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Auteur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Emilia 0.6.0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drawing>
                <wp:inline>
                  <wp:extent cx="2159999" cy="592098"/>
                  <wp:effectExtent b="0" l="0" r="0" t="0"/>
                  <wp:docPr descr="Modyva Logo" title="" id="21" name="Picture"/>
                  <a:graphic>
                    <a:graphicData uri="http://schemas.openxmlformats.org/drawingml/2006/picture">
                      <pic:pic>
                        <pic:nvPicPr>
                          <pic:cNvPr descr="templates/modyva.png" id="22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999" cy="59209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drawing>
                <wp:inline>
                  <wp:extent cx="2159999" cy="848259"/>
                  <wp:effectExtent b="0" l="0" r="0" t="0"/>
                  <wp:docPr descr="Cohezio Logo" title="" id="24" name="Picture"/>
                  <a:graphic>
                    <a:graphicData uri="http://schemas.openxmlformats.org/drawingml/2006/picture">
                      <pic:pic>
                        <pic:nvPicPr>
                          <pic:cNvPr descr="templates/cohezio.png" id="25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999" cy="84825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r>
        <w:br w:type="page"/>
      </w:r>
    </w:p>
    <w:bookmarkStart w:id="26" w:name="introduction"/>
    <w:p>
      <w:pPr>
        <w:pStyle w:val="Heading1"/>
      </w:pPr>
      <w:r>
        <w:t xml:space="preserve">Introduction</w:t>
      </w:r>
    </w:p>
    <w:p>
      <w:pPr>
        <w:pStyle w:val="FirstParagraph"/>
      </w:pPr>
      <w:r>
        <w:t xml:space="preserve">Le présent rapport analyse les dangers intrinsèques du produit</w:t>
      </w:r>
      <w:r>
        <w:t xml:space="preserve"> </w:t>
      </w:r>
      <w:r>
        <w:rPr>
          <w:b/>
          <w:bCs/>
        </w:rPr>
        <w:t xml:space="preserve">1-387355sds_citigreenglassspray_fr</w:t>
      </w:r>
      <w:r>
        <w:t xml:space="preserve">.</w:t>
      </w:r>
    </w:p>
    <w:p>
      <w:pPr>
        <w:pStyle w:val="BodyText"/>
      </w:pPr>
      <w:r>
        <w:t xml:space="preserve">L’analyse vise à répondre aux questions suivantes :</w:t>
      </w:r>
    </w:p>
    <w:p>
      <w:pPr>
        <w:pStyle w:val="Compact"/>
        <w:numPr>
          <w:ilvl w:val="0"/>
          <w:numId w:val="1001"/>
        </w:numPr>
      </w:pPr>
      <w:r>
        <w:t xml:space="preserve">Quels sont les dangers associés au produit et à ses substances ?</w:t>
      </w:r>
    </w:p>
    <w:p>
      <w:pPr>
        <w:pStyle w:val="Compact"/>
        <w:numPr>
          <w:ilvl w:val="0"/>
          <w:numId w:val="1001"/>
        </w:numPr>
      </w:pPr>
      <w:r>
        <w:t xml:space="preserve">Les substances présentes sont-elles soumises à des valeurs limites d’exposition ou à des classifications particulières (CMR, SEVESO, …) ?</w:t>
      </w:r>
    </w:p>
    <w:p>
      <w:pPr>
        <w:pStyle w:val="Compact"/>
        <w:numPr>
          <w:ilvl w:val="0"/>
          <w:numId w:val="1001"/>
        </w:numPr>
      </w:pPr>
      <w:r>
        <w:t xml:space="preserve">Quels sont les dangers pour la santé connus pour ces différentes substances ?</w:t>
      </w:r>
    </w:p>
    <w:p>
      <w:pPr>
        <w:pStyle w:val="Compact"/>
        <w:numPr>
          <w:ilvl w:val="0"/>
          <w:numId w:val="1001"/>
        </w:numPr>
      </w:pPr>
      <w:r>
        <w:t xml:space="preserve">Est-ce que la FDS reçue présente potentiellement des erreurs (obsolescence, changements dans les classifications de l’ECHA, …) ?</w:t>
      </w:r>
    </w:p>
    <w:p>
      <w:pPr>
        <w:pStyle w:val="Compact"/>
        <w:numPr>
          <w:ilvl w:val="0"/>
          <w:numId w:val="1001"/>
        </w:numPr>
      </w:pPr>
      <w:r>
        <w:t xml:space="preserve">Quelles mesures de prévention doivent être envisagées lors de l’utilisation de ce produit ?</w:t>
      </w:r>
    </w:p>
    <w:p>
      <w:pPr>
        <w:pStyle w:val="FirstParagraph"/>
      </w:pPr>
      <w:r>
        <w:t xml:space="preserve">La fiche de données de sécurité (FDS) a été traitée à l’aide de l’outil d’intelligence artificielle</w:t>
      </w:r>
      <w:r>
        <w:t xml:space="preserve"> </w:t>
      </w:r>
      <w:r>
        <w:rPr>
          <w:b/>
          <w:bCs/>
        </w:rPr>
        <w:t xml:space="preserve">EmilIA</w:t>
      </w:r>
      <w:r>
        <w:t xml:space="preserve"> </w:t>
      </w:r>
      <w:r>
        <w:t xml:space="preserve">développé par</w:t>
      </w:r>
      <w:r>
        <w:t xml:space="preserve"> </w:t>
      </w:r>
      <w:r>
        <w:rPr>
          <w:b/>
          <w:bCs/>
        </w:rPr>
        <w:t xml:space="preserve">Modyva</w:t>
      </w:r>
      <w:r>
        <w:t xml:space="preserve">. Les résultats ont été revus et contrôlés par Modyva.</w:t>
      </w:r>
      <w:r>
        <w:br/>
      </w:r>
      <w:r>
        <w:t xml:space="preserve">L’analyse se limite à une analyse des dangers. L’exposition au risque basée sur les conditions réelles d’utilisation in-situ n’a pas été évaluée.</w:t>
      </w:r>
    </w:p>
    <w:p>
      <w:pPr>
        <w:pStyle w:val="BodyText"/>
      </w:pPr>
      <w:r>
        <w:t xml:space="preserve">Cette étude est basée sur les prescriptions et recommandations suivantes :</w:t>
      </w:r>
    </w:p>
    <w:p>
      <w:pPr>
        <w:pStyle w:val="Compact"/>
        <w:numPr>
          <w:ilvl w:val="0"/>
          <w:numId w:val="1002"/>
        </w:numPr>
      </w:pPr>
      <w:r>
        <w:t xml:space="preserve">LIVRE VI — Agents chimiques, cancérigènes, mutagènes et reprotoxiques</w:t>
      </w:r>
    </w:p>
    <w:p>
      <w:pPr>
        <w:pStyle w:val="Compact"/>
        <w:numPr>
          <w:ilvl w:val="0"/>
          <w:numId w:val="1002"/>
        </w:numPr>
      </w:pPr>
      <w:r>
        <w:t xml:space="preserve">Fiches toxicologiques de l’INRS</w:t>
      </w:r>
    </w:p>
    <w:p>
      <w:pPr>
        <w:pStyle w:val="Compact"/>
        <w:numPr>
          <w:ilvl w:val="0"/>
          <w:numId w:val="1002"/>
        </w:numPr>
      </w:pPr>
      <w:r>
        <w:t xml:space="preserve">Directive 2012/18/UE (SEVESO)</w:t>
      </w:r>
    </w:p>
    <w:p>
      <w:pPr>
        <w:pStyle w:val="Compact"/>
        <w:numPr>
          <w:ilvl w:val="0"/>
          <w:numId w:val="1002"/>
        </w:numPr>
      </w:pPr>
      <w:r>
        <w:t xml:space="preserve">Règlement (CE) 1272/2008 (CLP)</w:t>
      </w:r>
    </w:p>
    <w:p>
      <w:pPr>
        <w:pStyle w:val="Compact"/>
        <w:numPr>
          <w:ilvl w:val="0"/>
          <w:numId w:val="1002"/>
        </w:numPr>
      </w:pPr>
      <w:r>
        <w:t xml:space="preserve">Règlement (CE) 1907/2006 (REACH) — Annexe XVII / Annexe XIV</w:t>
      </w:r>
    </w:p>
    <w:p>
      <w:pPr>
        <w:pStyle w:val="Compact"/>
        <w:numPr>
          <w:ilvl w:val="0"/>
          <w:numId w:val="1002"/>
        </w:numPr>
      </w:pPr>
      <w:r>
        <w:t xml:space="preserve">Règlement (UE) 2019/1021 (POP)</w:t>
      </w:r>
    </w:p>
    <w:p>
      <w:pPr>
        <w:pStyle w:val="Compact"/>
        <w:numPr>
          <w:ilvl w:val="0"/>
          <w:numId w:val="1002"/>
        </w:numPr>
      </w:pPr>
      <w:r>
        <w:t xml:space="preserve">Règlement (UE) 528/2012 (Biocides)</w:t>
      </w:r>
    </w:p>
    <w:p>
      <w:r>
        <w:br w:type="page"/>
      </w:r>
    </w:p>
    <w:bookmarkEnd w:id="26"/>
    <w:bookmarkStart w:id="59" w:name="Xe444242d2f7218d8672b89fd255741b2195389d"/>
    <w:p>
      <w:pPr>
        <w:pStyle w:val="Heading1"/>
      </w:pPr>
      <w:r>
        <w:t xml:space="preserve">Analyse des dangers : 1-387355sds_citigreenglassspray_fr</w:t>
      </w:r>
    </w:p>
    <w:p>
      <w:pPr>
        <w:pStyle w:val="FirstParagraph"/>
      </w:pPr>
      <w:r>
        <w:t xml:space="preserve">Dans la suite, nous détaillons les dangers associés au produit</w:t>
      </w:r>
      <w:r>
        <w:t xml:space="preserve"> </w:t>
      </w:r>
      <w:r>
        <w:rPr>
          <w:b/>
          <w:bCs/>
        </w:rPr>
        <w:t xml:space="preserve">1-387355sds_citigreenglassspray_fr</w:t>
      </w:r>
      <w:r>
        <w:t xml:space="preserve">, les éléments potentiellement erronés ou obsolètes relevés dans la FDS, les classifications des différentes substances présentes et les protections individuelles à envisager.</w:t>
      </w:r>
    </w:p>
    <w:bookmarkStart w:id="27" w:name="X8dba009bd9247913838556218799ec0ac58d74c"/>
    <w:p>
      <w:pPr>
        <w:pStyle w:val="Heading2"/>
      </w:pPr>
      <w:r>
        <w:t xml:space="preserve">Remarques préalables relatives au contenu de la FDS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582"/>
        <w:gridCol w:w="4337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Propriété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Fabriqué par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CITICLEAN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État physique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liquide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Forme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pH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8 (7,5 – 8,5)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Usage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L’utilisation prévue de ce produit est industrielle / professionnelle.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 FDS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2023-01-30</w:t>
            </w:r>
          </w:p>
        </w:tc>
      </w:tr>
    </w:tbl>
    <w:p>
      <w:pPr>
        <w:pStyle w:val="BodyText"/>
      </w:pPr>
      <w:r>
        <w:t xml:space="preserve"> </w:t>
      </w:r>
      <w:r>
        <w:t xml:space="preserve">La FDS date du 2023-01-30. Elle a donc 3 an(s).</w:t>
      </w:r>
      <w:r>
        <w:t xml:space="preserve"> </w:t>
      </w:r>
      <w:r>
        <w:t xml:space="preserve">La FDS ayant plus de 3 ans, il est</w:t>
      </w:r>
      <w:r>
        <w:t xml:space="preserve"> </w:t>
      </w:r>
      <w:r>
        <w:rPr>
          <w:i/>
          <w:iCs/>
        </w:rPr>
        <w:t xml:space="preserve">recommandé</w:t>
      </w:r>
      <w:r>
        <w:t xml:space="preserve"> </w:t>
      </w:r>
      <w:r>
        <w:t xml:space="preserve">de demander au fournisseur de produire une FDS mise à jour.</w:t>
      </w:r>
    </w:p>
    <w:bookmarkEnd w:id="27"/>
    <w:bookmarkStart w:id="29" w:name="erreurs-de-classification"/>
    <w:p>
      <w:pPr>
        <w:pStyle w:val="Heading2"/>
      </w:pPr>
      <w:r>
        <w:t xml:space="preserve">Erreurs de classification</w:t>
      </w:r>
    </w:p>
    <w:bookmarkStart w:id="28" w:name="produit"/>
    <w:p>
      <w:pPr>
        <w:pStyle w:val="Heading3"/>
      </w:pPr>
      <w:r>
        <w:t xml:space="preserve">Produit</w:t>
      </w:r>
    </w:p>
    <w:p>
      <w:pPr>
        <w:pStyle w:val="FirstParagraph"/>
      </w:pPr>
      <w:r>
        <w:t xml:space="preserve">EmilIA a identifié les erreurs de classification potentielles suivantes dans la FDS :</w:t>
      </w:r>
    </w:p>
    <w:p>
      <w:pPr>
        <w:pStyle w:val="Compact"/>
        <w:numPr>
          <w:ilvl w:val="0"/>
          <w:numId w:val="1003"/>
        </w:numPr>
      </w:pPr>
      <w:r>
        <w:t xml:space="preserve">La substance Methylisothiazolinone devrait être classée H318 selon les dernières classifications harmonisées publiées par l’ECHA.</w:t>
      </w:r>
    </w:p>
    <w:bookmarkEnd w:id="28"/>
    <w:bookmarkEnd w:id="29"/>
    <w:bookmarkStart w:id="30" w:name="X8590ab4bbc4e90345d03c8c67bc0c03dd205453"/>
    <w:p>
      <w:pPr>
        <w:pStyle w:val="Heading2"/>
      </w:pPr>
      <w:r>
        <w:t xml:space="preserve">Dangers, conseils de prudence et classification pour le transport du produit</w:t>
      </w:r>
    </w:p>
    <w:p>
      <w:pPr>
        <w:pStyle w:val="FirstParagraph"/>
      </w:pPr>
      <w:r>
        <w:rPr>
          <w:b/>
          <w:bCs/>
        </w:rPr>
        <w:t xml:space="preserve">Mention d’avertissement</w:t>
      </w:r>
      <w:r>
        <w:t xml:space="preserve"> </w:t>
      </w:r>
      <w:r>
        <w:t xml:space="preserve">:</w:t>
      </w:r>
      <w:r>
        <w:t xml:space="preserve"> </w:t>
      </w:r>
      <w:r>
        <w:t xml:space="preserve">Not Applicable</w:t>
      </w:r>
    </w:p>
    <w:p>
      <w:pPr>
        <w:pStyle w:val="BodyText"/>
      </w:pPr>
      <w:r>
        <w:rPr>
          <w:b/>
          <w:bCs/>
        </w:rPr>
        <w:t xml:space="preserve">Pictogrammes (SGH)</w:t>
      </w:r>
      <w:r>
        <w:t xml:space="preserve"> </w:t>
      </w:r>
      <w:r>
        <w:t xml:space="preserve">:</w:t>
      </w:r>
    </w:p>
    <w:p>
      <w:pPr>
        <w:pStyle w:val="BodyText"/>
      </w:pPr>
      <w:r>
        <w:rPr>
          <w:b/>
          <w:bCs/>
        </w:rPr>
        <w:t xml:space="preserve">Mentions de danger</w:t>
      </w:r>
      <w:r>
        <w:t xml:space="preserve"> </w:t>
      </w:r>
      <w:r>
        <w:t xml:space="preserve">:</w:t>
      </w:r>
    </w:p>
    <w:p>
      <w:pPr>
        <w:pStyle w:val="BodyText"/>
      </w:pPr>
      <w:r>
        <w:rPr>
          <w:b/>
          <w:bCs/>
        </w:rPr>
        <w:t xml:space="preserve">Conseils de prudence</w:t>
      </w:r>
      <w:r>
        <w:t xml:space="preserve"> </w:t>
      </w:r>
      <w:r>
        <w:t xml:space="preserve">:</w:t>
      </w:r>
    </w:p>
    <w:p>
      <w:pPr>
        <w:pStyle w:val="BodyText"/>
      </w:pPr>
      <w:r>
        <w:rPr>
          <w:b/>
          <w:bCs/>
        </w:rPr>
        <w:t xml:space="preserve">Transport</w:t>
      </w:r>
      <w:r>
        <w:t xml:space="preserve"> </w:t>
      </w:r>
      <w:r>
        <w:t xml:space="preserve">:</w:t>
      </w:r>
    </w:p>
    <w:p>
      <w:pPr>
        <w:pStyle w:val="Compact"/>
        <w:numPr>
          <w:ilvl w:val="0"/>
          <w:numId w:val="1004"/>
        </w:numPr>
      </w:pPr>
      <w:r>
        <w:t xml:space="preserve">ADR : -</w:t>
      </w:r>
    </w:p>
    <w:p>
      <w:pPr>
        <w:pStyle w:val="Compact"/>
        <w:numPr>
          <w:ilvl w:val="0"/>
          <w:numId w:val="1004"/>
        </w:numPr>
      </w:pPr>
      <w:r>
        <w:t xml:space="preserve">RID : -</w:t>
      </w:r>
    </w:p>
    <w:p>
      <w:pPr>
        <w:pStyle w:val="Compact"/>
        <w:numPr>
          <w:ilvl w:val="0"/>
          <w:numId w:val="1004"/>
        </w:numPr>
      </w:pPr>
      <w:r>
        <w:t xml:space="preserve">ADN : -</w:t>
      </w:r>
    </w:p>
    <w:p>
      <w:pPr>
        <w:pStyle w:val="Compact"/>
        <w:numPr>
          <w:ilvl w:val="0"/>
          <w:numId w:val="1004"/>
        </w:numPr>
      </w:pPr>
      <w:r>
        <w:t xml:space="preserve">IMDG : -</w:t>
      </w:r>
    </w:p>
    <w:p>
      <w:pPr>
        <w:pStyle w:val="Compact"/>
        <w:numPr>
          <w:ilvl w:val="0"/>
          <w:numId w:val="1004"/>
        </w:numPr>
      </w:pPr>
      <w:r>
        <w:t xml:space="preserve">IATA : -</w:t>
      </w:r>
    </w:p>
    <w:p>
      <w:pPr>
        <w:pStyle w:val="Compact"/>
        <w:numPr>
          <w:ilvl w:val="0"/>
          <w:numId w:val="1004"/>
        </w:numPr>
      </w:pPr>
      <w:r>
        <w:t xml:space="preserve">UN : -</w:t>
      </w:r>
    </w:p>
    <w:bookmarkEnd w:id="30"/>
    <w:bookmarkStart w:id="31" w:name="Xda6f178de632779b007ca26fa4959a763d2c7f4"/>
    <w:p>
      <w:pPr>
        <w:pStyle w:val="Heading2"/>
      </w:pPr>
      <w:r>
        <w:t xml:space="preserve">Dangers et/ou mesures par voie d’exposition</w:t>
      </w:r>
    </w:p>
    <w:p>
      <w:pPr>
        <w:pStyle w:val="FirstParagraph"/>
      </w:pPr>
      <w:r>
        <w:t xml:space="preserve">skin : Oter les vêtements touchés.</w:t>
      </w:r>
      <w:r>
        <w:t xml:space="preserve"> </w:t>
      </w:r>
      <w:r>
        <w:t xml:space="preserve">Laver les parties exposées de la peau avec un savon doux et de l’eau.</w:t>
      </w:r>
      <w:r>
        <w:t xml:space="preserve"> </w:t>
      </w:r>
      <w:r>
        <w:t xml:space="preserve">Rincer à l’eau chaude.</w:t>
      </w:r>
    </w:p>
    <w:p>
      <w:pPr>
        <w:pStyle w:val="BodyText"/>
      </w:pPr>
      <w:r>
        <w:t xml:space="preserve">eyes : Rincer immédiatement et abondamment à l’eau.</w:t>
      </w:r>
      <w:r>
        <w:t xml:space="preserve"> </w:t>
      </w:r>
      <w:r>
        <w:t xml:space="preserve">Consulter un médecin si la douleur ou la rougeur persistent.</w:t>
      </w:r>
    </w:p>
    <w:p>
      <w:pPr>
        <w:pStyle w:val="BodyText"/>
      </w:pPr>
      <w:r>
        <w:t xml:space="preserve">ingestion : Rincer la bouche.</w:t>
      </w:r>
      <w:r>
        <w:t xml:space="preserve"> </w:t>
      </w:r>
      <w:r>
        <w:t xml:space="preserve">NE PAS faire vomir.</w:t>
      </w:r>
      <w:r>
        <w:t xml:space="preserve"> </w:t>
      </w:r>
      <w:r>
        <w:t xml:space="preserve">Consulter d’urgence un médecin.</w:t>
      </w:r>
    </w:p>
    <w:p>
      <w:pPr>
        <w:pStyle w:val="BodyText"/>
      </w:pPr>
      <w:r>
        <w:t xml:space="preserve">inhalation : Permettre au sujet de respirer de l’air frais.</w:t>
      </w:r>
      <w:r>
        <w:t xml:space="preserve"> </w:t>
      </w:r>
      <w:r>
        <w:t xml:space="preserve">Mettre la victime au repos.</w:t>
      </w:r>
    </w:p>
    <w:p>
      <w:r>
        <w:br w:type="page"/>
      </w:r>
    </w:p>
    <w:bookmarkEnd w:id="31"/>
    <w:bookmarkStart w:id="56" w:name="Xd3fd47f9279b52cc9d4b00e07bdfde0bea6594f"/>
    <w:p>
      <w:pPr>
        <w:pStyle w:val="Heading2"/>
      </w:pPr>
      <w:r>
        <w:t xml:space="preserve">Informations relatives aux substances dangereuses présentes</w:t>
      </w:r>
    </w:p>
    <w:bookmarkStart w:id="42" w:name="isopropyl-alcohol"/>
    <w:p>
      <w:pPr>
        <w:pStyle w:val="Heading3"/>
      </w:pPr>
      <w:r>
        <w:t xml:space="preserve">Isopropyl alcohol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05"/>
        </w:numPr>
      </w:pPr>
      <w:r>
        <w:t xml:space="preserve">N° CAS : 67-63-0</w:t>
      </w:r>
    </w:p>
    <w:p>
      <w:pPr>
        <w:pStyle w:val="Compact"/>
        <w:numPr>
          <w:ilvl w:val="0"/>
          <w:numId w:val="1005"/>
        </w:numPr>
      </w:pPr>
      <w:r>
        <w:t xml:space="preserve">N° EINECS : 200-661-7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:from 0.0 to 0.0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numPr>
          <w:ilvl w:val="0"/>
          <w:numId w:val="1006"/>
        </w:numPr>
      </w:pPr>
      <w:r>
        <w:t xml:space="preserve">H225</w:t>
      </w:r>
      <w:r>
        <w:t xml:space="preserve"> </w:t>
      </w:r>
      <w:r>
        <w:t xml:space="preserve">Liquide et vapeurs très inflammables.</w:t>
      </w:r>
    </w:p>
    <w:p>
      <w:pPr>
        <w:numPr>
          <w:ilvl w:val="0"/>
          <w:numId w:val="1006"/>
        </w:numPr>
      </w:pPr>
      <w:r>
        <w:t xml:space="preserve">H319</w:t>
      </w:r>
      <w:r>
        <w:t xml:space="preserve"> </w:t>
      </w:r>
      <w:r>
        <w:t xml:space="preserve">Provoque une sévère irritation des yeux.</w:t>
      </w:r>
    </w:p>
    <w:p>
      <w:pPr>
        <w:numPr>
          <w:ilvl w:val="0"/>
          <w:numId w:val="1006"/>
        </w:numPr>
      </w:pPr>
      <w:r>
        <w:t xml:space="preserve">H336</w:t>
      </w:r>
      <w:r>
        <w:t xml:space="preserve"> </w:t>
      </w:r>
      <w:r>
        <w:t xml:space="preserve">Peut provoquer somnolence ou vertiges.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VLE-8h (ppm) : 200.0 - VLE-8h (mg/m³) : 500.0 - VLE-15min (ppm) : 400.0 - VLE-15min (mg/m³) : 1000.0</w:t>
            </w:r>
          </w:p>
        </w:tc>
      </w:tr>
    </w:tbl>
    <w:bookmarkStart w:id="41" w:name="propriétés"/>
    <w:p>
      <w:pPr>
        <w:pStyle w:val="Heading4"/>
      </w:pPr>
      <w:r>
        <w:t xml:space="preserve">Propriétés</w:t>
      </w:r>
    </w:p>
    <w:p>
      <w:pPr>
        <w:pStyle w:val="FirstParagraph"/>
      </w:pPr>
      <w:hyperlink r:id="rId32">
        <w:r>
          <w:rPr>
            <w:rStyle w:val="Hyperlink"/>
            <w:color w:val="0856A0"/>
            <w:u w:val="single"/>
          </w:rPr>
          <w:t xml:space="preserve">Fiche n°66 - Propan-2-ol</w:t>
        </w:r>
      </w:hyperlink>
    </w:p>
    <w:p>
      <w:pPr>
        <w:numPr>
          <w:ilvl w:val="0"/>
          <w:numId w:val="1007"/>
        </w:numPr>
      </w:pPr>
      <w:hyperlink r:id="rId33">
        <w:r>
          <w:rPr>
            <w:rStyle w:val="Hyperlink"/>
            <w:color w:val="0856A0"/>
            <w:u w:val="single"/>
          </w:rPr>
          <w:t xml:space="preserve">Généralités</w:t>
        </w:r>
      </w:hyperlink>
    </w:p>
    <w:p>
      <w:pPr>
        <w:numPr>
          <w:ilvl w:val="0"/>
          <w:numId w:val="1007"/>
        </w:numPr>
      </w:pPr>
      <w:hyperlink r:id="rId34">
        <w:r>
          <w:rPr>
            <w:rStyle w:val="Hyperlink"/>
            <w:color w:val="0856A0"/>
            <w:u w:val="single"/>
          </w:rPr>
          <w:t xml:space="preserve">Caractéristiques</w:t>
        </w:r>
      </w:hyperlink>
    </w:p>
    <w:p>
      <w:pPr>
        <w:numPr>
          <w:ilvl w:val="0"/>
          <w:numId w:val="1007"/>
        </w:numPr>
      </w:pPr>
      <w:hyperlink r:id="rId35">
        <w:r>
          <w:rPr>
            <w:rStyle w:val="Hyperlink"/>
            <w:color w:val="0856A0"/>
            <w:u w:val="single"/>
          </w:rPr>
          <w:t xml:space="preserve">VLEPMesurage</w:t>
        </w:r>
      </w:hyperlink>
    </w:p>
    <w:p>
      <w:pPr>
        <w:numPr>
          <w:ilvl w:val="0"/>
          <w:numId w:val="1007"/>
        </w:numPr>
      </w:pPr>
      <w:hyperlink r:id="rId36">
        <w:r>
          <w:rPr>
            <w:rStyle w:val="Hyperlink"/>
            <w:color w:val="0856A0"/>
            <w:u w:val="single"/>
          </w:rPr>
          <w:t xml:space="preserve">Incendie - Explosion[16-18]</w:t>
        </w:r>
      </w:hyperlink>
    </w:p>
    <w:p>
      <w:pPr>
        <w:numPr>
          <w:ilvl w:val="0"/>
          <w:numId w:val="1007"/>
        </w:numPr>
      </w:pPr>
      <w:hyperlink r:id="rId37">
        <w:r>
          <w:rPr>
            <w:rStyle w:val="Hyperlink"/>
            <w:color w:val="0856A0"/>
            <w:u w:val="single"/>
          </w:rPr>
          <w:t xml:space="preserve">Pathologie - Toxicologie</w:t>
        </w:r>
      </w:hyperlink>
    </w:p>
    <w:p>
      <w:pPr>
        <w:numPr>
          <w:ilvl w:val="0"/>
          <w:numId w:val="1007"/>
        </w:numPr>
      </w:pPr>
      <w:hyperlink r:id="rId38">
        <w:r>
          <w:rPr>
            <w:rStyle w:val="Hyperlink"/>
            <w:color w:val="0856A0"/>
            <w:u w:val="single"/>
          </w:rPr>
          <w:t xml:space="preserve">Règlementation</w:t>
        </w:r>
      </w:hyperlink>
    </w:p>
    <w:p>
      <w:pPr>
        <w:numPr>
          <w:ilvl w:val="0"/>
          <w:numId w:val="1007"/>
        </w:numPr>
      </w:pPr>
      <w:hyperlink r:id="rId39">
        <w:r>
          <w:rPr>
            <w:rStyle w:val="Hyperlink"/>
            <w:color w:val="0856A0"/>
            <w:u w:val="single"/>
          </w:rPr>
          <w:t xml:space="preserve">Recommandations</w:t>
        </w:r>
      </w:hyperlink>
    </w:p>
    <w:p>
      <w:pPr>
        <w:numPr>
          <w:ilvl w:val="0"/>
          <w:numId w:val="1007"/>
        </w:numPr>
      </w:pPr>
      <w:hyperlink r:id="rId40">
        <w:r>
          <w:rPr>
            <w:rStyle w:val="Hyperlink"/>
            <w:color w:val="0856A0"/>
            <w:u w:val="single"/>
          </w:rPr>
          <w:t xml:space="preserve">Bibliographie</w:t>
        </w:r>
      </w:hyperlink>
    </w:p>
    <w:bookmarkEnd w:id="41"/>
    <w:bookmarkEnd w:id="42"/>
    <w:bookmarkStart w:id="44" w:name="methylchloroisothiazolinone"/>
    <w:p>
      <w:pPr>
        <w:pStyle w:val="Heading3"/>
      </w:pPr>
      <w:r>
        <w:t xml:space="preserve">Methylchloroisothiazolinone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08"/>
        </w:numPr>
      </w:pPr>
      <w:r>
        <w:t xml:space="preserve">N° CAS : None</w:t>
      </w:r>
    </w:p>
    <w:p>
      <w:pPr>
        <w:pStyle w:val="Compact"/>
        <w:numPr>
          <w:ilvl w:val="0"/>
          <w:numId w:val="1008"/>
        </w:numPr>
      </w:pPr>
      <w:r>
        <w:t xml:space="preserve">N° EINECS : None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:from 0.0015 to 100.0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pStyle w:val="Compact"/>
        <w:numPr>
          <w:ilvl w:val="0"/>
          <w:numId w:val="1009"/>
        </w:numPr>
      </w:pPr>
      <w:r>
        <w:t xml:space="preserve">H317</w:t>
      </w:r>
      <w:r>
        <w:t xml:space="preserve"> </w:t>
      </w:r>
      <w:r>
        <w:t xml:space="preserve">Peut provoquer une allergie cutanée.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</w:tbl>
    <w:bookmarkStart w:id="43" w:name="propriétés-1"/>
    <w:p>
      <w:pPr>
        <w:pStyle w:val="Heading4"/>
      </w:pPr>
      <w:r>
        <w:t xml:space="preserve">Propriétés</w:t>
      </w:r>
    </w:p>
    <w:p>
      <w:pPr>
        <w:pStyle w:val="FirstParagraph"/>
      </w:pPr>
      <w:r>
        <w:t xml:space="preserve">Pas d’informations disponible.</w:t>
      </w:r>
    </w:p>
    <w:bookmarkEnd w:id="43"/>
    <w:bookmarkEnd w:id="44"/>
    <w:bookmarkStart w:id="55" w:name="methylisothiazolinone"/>
    <w:p>
      <w:pPr>
        <w:pStyle w:val="Heading3"/>
      </w:pPr>
      <w:r>
        <w:t xml:space="preserve">Methylisothiazolinone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10"/>
        </w:numPr>
      </w:pPr>
      <w:r>
        <w:t xml:space="preserve">N° CAS : 55965-84-9</w:t>
      </w:r>
    </w:p>
    <w:p>
      <w:pPr>
        <w:pStyle w:val="Compact"/>
        <w:numPr>
          <w:ilvl w:val="0"/>
          <w:numId w:val="1010"/>
        </w:numPr>
      </w:pPr>
      <w:r>
        <w:t xml:space="preserve">N° EINECS : None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:from 0.06 to 0.6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numPr>
          <w:ilvl w:val="0"/>
          <w:numId w:val="1011"/>
        </w:numPr>
      </w:pPr>
      <w:r>
        <w:t xml:space="preserve">H301</w:t>
      </w:r>
      <w:r>
        <w:t xml:space="preserve"> </w:t>
      </w:r>
      <w:r>
        <w:t xml:space="preserve">Toxique en cas d’ingestion.</w:t>
      </w:r>
    </w:p>
    <w:p>
      <w:pPr>
        <w:numPr>
          <w:ilvl w:val="0"/>
          <w:numId w:val="1011"/>
        </w:numPr>
      </w:pPr>
      <w:r>
        <w:t xml:space="preserve">H310</w:t>
      </w:r>
      <w:r>
        <w:t xml:space="preserve"> </w:t>
      </w:r>
      <w:r>
        <w:t xml:space="preserve">Mortel par contact cutané.</w:t>
      </w:r>
    </w:p>
    <w:p>
      <w:pPr>
        <w:numPr>
          <w:ilvl w:val="0"/>
          <w:numId w:val="1011"/>
        </w:numPr>
      </w:pPr>
      <w:r>
        <w:t xml:space="preserve">H314</w:t>
      </w:r>
      <w:r>
        <w:t xml:space="preserve"> </w:t>
      </w:r>
      <w:r>
        <w:t xml:space="preserve">Provoque des brûlures de la peau et des lésions oculaires graves.</w:t>
      </w:r>
    </w:p>
    <w:p>
      <w:pPr>
        <w:numPr>
          <w:ilvl w:val="0"/>
          <w:numId w:val="1011"/>
        </w:numPr>
      </w:pPr>
      <w:r>
        <w:t xml:space="preserve">H317</w:t>
      </w:r>
      <w:r>
        <w:t xml:space="preserve"> </w:t>
      </w:r>
      <w:r>
        <w:t xml:space="preserve">Peut provoquer une allergie cutanée.</w:t>
      </w:r>
    </w:p>
    <w:p>
      <w:pPr>
        <w:numPr>
          <w:ilvl w:val="0"/>
          <w:numId w:val="1011"/>
        </w:numPr>
      </w:pPr>
      <w:r>
        <w:t xml:space="preserve">H330</w:t>
      </w:r>
      <w:r>
        <w:t xml:space="preserve"> </w:t>
      </w:r>
      <w:r>
        <w:t xml:space="preserve">Fatal if inhaled.</w:t>
      </w:r>
    </w:p>
    <w:p>
      <w:pPr>
        <w:numPr>
          <w:ilvl w:val="0"/>
          <w:numId w:val="1011"/>
        </w:numPr>
      </w:pPr>
      <w:r>
        <w:t xml:space="preserve">H400</w:t>
      </w:r>
      <w:r>
        <w:t xml:space="preserve"> </w:t>
      </w:r>
      <w:r>
        <w:t xml:space="preserve">Très toxique pour les organismes aquatiques.</w:t>
      </w:r>
    </w:p>
    <w:p>
      <w:pPr>
        <w:numPr>
          <w:ilvl w:val="0"/>
          <w:numId w:val="1011"/>
        </w:numPr>
      </w:pPr>
      <w:r>
        <w:t xml:space="preserve">H410</w:t>
      </w:r>
      <w:r>
        <w:t xml:space="preserve"> </w:t>
      </w:r>
      <w:r>
        <w:t xml:space="preserve">Très toxique pour les organismes aquatiques, entraîne des effets néfastes à long terme.</w:t>
      </w:r>
    </w:p>
    <w:p>
      <w:pPr>
        <w:numPr>
          <w:ilvl w:val="0"/>
          <w:numId w:val="1011"/>
        </w:numPr>
      </w:pPr>
      <w:r>
        <w:t xml:space="preserve">H318</w:t>
      </w:r>
      <w:r>
        <w:t xml:space="preserve"> </w:t>
      </w:r>
      <w:r>
        <w:t xml:space="preserve">Provoque des lésions oculaires graves.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</w:tbl>
    <w:bookmarkStart w:id="54" w:name="propriétés-2"/>
    <w:p>
      <w:pPr>
        <w:pStyle w:val="Heading4"/>
      </w:pPr>
      <w:r>
        <w:t xml:space="preserve">Propriétés</w:t>
      </w:r>
    </w:p>
    <w:p>
      <w:pPr>
        <w:pStyle w:val="FirstParagraph"/>
      </w:pPr>
      <w:hyperlink r:id="rId45">
        <w:r>
          <w:rPr>
            <w:rStyle w:val="Hyperlink"/>
            <w:color w:val="0856A0"/>
            <w:u w:val="single"/>
          </w:rPr>
          <w:t xml:space="preserve">Fiche n°290 - CMIT / MIT</w:t>
        </w:r>
      </w:hyperlink>
    </w:p>
    <w:p>
      <w:pPr>
        <w:numPr>
          <w:ilvl w:val="0"/>
          <w:numId w:val="1012"/>
        </w:numPr>
      </w:pPr>
      <w:hyperlink r:id="rId46">
        <w:r>
          <w:rPr>
            <w:rStyle w:val="Hyperlink"/>
            <w:color w:val="0856A0"/>
            <w:u w:val="single"/>
          </w:rPr>
          <w:t xml:space="preserve">Généralités</w:t>
        </w:r>
      </w:hyperlink>
    </w:p>
    <w:p>
      <w:pPr>
        <w:numPr>
          <w:ilvl w:val="0"/>
          <w:numId w:val="1012"/>
        </w:numPr>
      </w:pPr>
      <w:hyperlink r:id="rId47">
        <w:r>
          <w:rPr>
            <w:rStyle w:val="Hyperlink"/>
            <w:color w:val="0856A0"/>
            <w:u w:val="single"/>
          </w:rPr>
          <w:t xml:space="preserve">Caractéristiques</w:t>
        </w:r>
      </w:hyperlink>
    </w:p>
    <w:p>
      <w:pPr>
        <w:numPr>
          <w:ilvl w:val="0"/>
          <w:numId w:val="1012"/>
        </w:numPr>
      </w:pPr>
      <w:hyperlink r:id="rId48">
        <w:r>
          <w:rPr>
            <w:rStyle w:val="Hyperlink"/>
            <w:color w:val="0856A0"/>
            <w:u w:val="single"/>
          </w:rPr>
          <w:t xml:space="preserve">VLEPMesurage</w:t>
        </w:r>
      </w:hyperlink>
    </w:p>
    <w:p>
      <w:pPr>
        <w:numPr>
          <w:ilvl w:val="0"/>
          <w:numId w:val="1012"/>
        </w:numPr>
      </w:pPr>
      <w:hyperlink r:id="rId49">
        <w:r>
          <w:rPr>
            <w:rStyle w:val="Hyperlink"/>
            <w:color w:val="0856A0"/>
            <w:u w:val="single"/>
          </w:rPr>
          <w:t xml:space="preserve">Incendie - Explosion[3, 5]</w:t>
        </w:r>
      </w:hyperlink>
    </w:p>
    <w:p>
      <w:pPr>
        <w:numPr>
          <w:ilvl w:val="0"/>
          <w:numId w:val="1012"/>
        </w:numPr>
      </w:pPr>
      <w:hyperlink r:id="rId50">
        <w:r>
          <w:rPr>
            <w:rStyle w:val="Hyperlink"/>
            <w:color w:val="0856A0"/>
            <w:u w:val="single"/>
          </w:rPr>
          <w:t xml:space="preserve">Pathologie - Toxicologie</w:t>
        </w:r>
      </w:hyperlink>
    </w:p>
    <w:p>
      <w:pPr>
        <w:numPr>
          <w:ilvl w:val="0"/>
          <w:numId w:val="1012"/>
        </w:numPr>
      </w:pPr>
      <w:hyperlink r:id="rId51">
        <w:r>
          <w:rPr>
            <w:rStyle w:val="Hyperlink"/>
            <w:color w:val="0856A0"/>
            <w:u w:val="single"/>
          </w:rPr>
          <w:t xml:space="preserve">Règlementation</w:t>
        </w:r>
      </w:hyperlink>
    </w:p>
    <w:p>
      <w:pPr>
        <w:numPr>
          <w:ilvl w:val="0"/>
          <w:numId w:val="1012"/>
        </w:numPr>
      </w:pPr>
      <w:hyperlink r:id="rId52">
        <w:r>
          <w:rPr>
            <w:rStyle w:val="Hyperlink"/>
            <w:color w:val="0856A0"/>
            <w:u w:val="single"/>
          </w:rPr>
          <w:t xml:space="preserve">Recommandations</w:t>
        </w:r>
      </w:hyperlink>
    </w:p>
    <w:p>
      <w:pPr>
        <w:numPr>
          <w:ilvl w:val="0"/>
          <w:numId w:val="1012"/>
        </w:numPr>
      </w:pPr>
      <w:hyperlink r:id="rId53">
        <w:r>
          <w:rPr>
            <w:rStyle w:val="Hyperlink"/>
            <w:color w:val="0856A0"/>
            <w:u w:val="single"/>
          </w:rPr>
          <w:t xml:space="preserve">Bibliographie</w:t>
        </w:r>
      </w:hyperlink>
    </w:p>
    <w:bookmarkEnd w:id="54"/>
    <w:bookmarkEnd w:id="55"/>
    <w:bookmarkEnd w:id="56"/>
    <w:bookmarkStart w:id="57" w:name="X45ad37046213581a41a58cd8a8dba04c2f3aa9c"/>
    <w:p>
      <w:pPr>
        <w:pStyle w:val="Heading2"/>
      </w:pPr>
      <w:r>
        <w:t xml:space="preserve">Protections individuelles et collectives à envisager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202"/>
        <w:gridCol w:w="3717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Zones à protéger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Mesures à envisager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Mains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porter des gants en cas de contact répété ou prolongé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Yeux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Protection oculaire ne s’impose que s’il y a un risque d’éclaboussures ou de projections de liquide.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Peau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Gants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Système respiratoire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Corps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</w:t>
            </w:r>
          </w:p>
        </w:tc>
      </w:tr>
    </w:tbl>
    <w:bookmarkEnd w:id="57"/>
    <w:bookmarkStart w:id="58" w:name="Xc141b1b6429233fc1a5306592e7c0023f190cfe"/>
    <w:p>
      <w:pPr>
        <w:pStyle w:val="Heading2"/>
      </w:pPr>
      <w:r>
        <w:t xml:space="preserve">Conditions de stockage et de manipulation à envisager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009"/>
        <w:gridCol w:w="4910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Zones à protéger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Mesures à envisager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Précautions à prendre pour une manipulation sans danger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Se laver les mains et toute autre zone exposée avec un savon doux et de l’eau, avant de manger, de boire, de fumer, et avant de quitter le travail. - Assurer une bonne ventilation de la zone de travail afin d’éviter la formation de vapeurs.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Conditions d’un stockage sûr, y compris d’éventuelles incompatibilités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Conserver uniquement dans le récipient d’origine. - Stocker dans un endroit frais et bien ventilé. - Garder les conteneurs fermés lorsqu’ils ne sont pas utilisés. - Éloigner le produit des rayons directs du soleil. Incompatibilités : - Produits incompatibles : bases fortes, acides forts. - Matières incompatibles : sources d’inflammation, rayons directs du soleil.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Utilisation(s) finale(s) particulière(s)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L’utilisation prévue de ce produit est industrielle / professionnelle.</w:t>
            </w:r>
          </w:p>
        </w:tc>
      </w:tr>
    </w:tbl>
    <w:bookmarkEnd w:id="58"/>
    <w:bookmarkEnd w:id="59"/>
    <w:sectPr w:rsidR="00E0006B">
      <w:pgSz w:h="15840" w:w="12240"/>
      <w:pgMar w:bottom="1440" w:footer="720" w:gutter="0" w:header="720" w:left="1440" w:right="1440" w:top="1440"/>
      <w:cols w:space="720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(Headings CS)">
    <w:altName w:val="Times New Roman"/>
    <w:panose1 w:val="020B0604020202020204"/>
    <w:charset w:val="00"/>
    <w:family w:val="roman"/>
    <w:pitch w:val="default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1B169FA4"/>
    <w:lvl w:ilvl="0">
      <w:numFmt w:val="bullet"/>
      <w:lvlText w:val=" "/>
      <w:lvlJc w:val="left"/>
      <w:pPr>
        <w:ind w:hanging="360" w:left="720"/>
      </w:pPr>
    </w:lvl>
    <w:lvl w:ilvl="1">
      <w:numFmt w:val="bullet"/>
      <w:lvlText w:val=" "/>
      <w:lvlJc w:val="left"/>
      <w:pPr>
        <w:ind w:hanging="360" w:left="1440"/>
      </w:pPr>
    </w:lvl>
    <w:lvl w:ilvl="2">
      <w:numFmt w:val="bullet"/>
      <w:lvlText w:val=" "/>
      <w:lvlJc w:val="left"/>
      <w:pPr>
        <w:ind w:hanging="360" w:left="2160"/>
      </w:pPr>
    </w:lvl>
    <w:lvl w:ilvl="3">
      <w:numFmt w:val="bullet"/>
      <w:lvlText w:val=" "/>
      <w:lvlJc w:val="left"/>
      <w:pPr>
        <w:ind w:hanging="360" w:left="2880"/>
      </w:pPr>
    </w:lvl>
    <w:lvl w:ilvl="4">
      <w:numFmt w:val="bullet"/>
      <w:lvlText w:val=" "/>
      <w:lvlJc w:val="left"/>
      <w:pPr>
        <w:ind w:hanging="360" w:left="3600"/>
      </w:pPr>
    </w:lvl>
    <w:lvl w:ilvl="5">
      <w:numFmt w:val="bullet"/>
      <w:lvlText w:val=" "/>
      <w:lvlJc w:val="left"/>
      <w:pPr>
        <w:ind w:hanging="360" w:left="4320"/>
      </w:pPr>
    </w:lvl>
    <w:lvl w:ilvl="6">
      <w:numFmt w:val="bullet"/>
      <w:lvlText w:val=" "/>
      <w:lvlJc w:val="left"/>
      <w:pPr>
        <w:ind w:hanging="360" w:left="5040"/>
      </w:pPr>
    </w:lvl>
    <w:lvl w:ilvl="7">
      <w:numFmt w:val="bullet"/>
      <w:lvlText w:val=" "/>
      <w:lvlJc w:val="left"/>
      <w:pPr>
        <w:ind w:hanging="360" w:left="5760"/>
      </w:pPr>
    </w:lvl>
    <w:lvl w:ilvl="8">
      <w:numFmt w:val="bullet"/>
      <w:lvlText w:val=" "/>
      <w:lvlJc w:val="left"/>
      <w:pPr>
        <w:ind w:hanging="360" w:left="6480"/>
      </w:pPr>
    </w:lvl>
  </w:abstractNum>
  <w:abstractNum w15:restartNumberingAfterBreak="0" w:abstractNumId="1">
    <w:nsid w:val="0000A991"/>
    <w:multiLevelType w:val="multilevel"/>
    <w:tmpl w:val="1892DF90"/>
    <w:lvl w:ilvl="0">
      <w:numFmt w:val="bullet"/>
      <w:lvlText w:val=""/>
      <w:lvlJc w:val="left"/>
      <w:pPr>
        <w:ind w:hanging="360" w:left="720"/>
      </w:pPr>
      <w:rPr>
        <w:rFonts w:ascii="Symbol" w:cs="Symbol" w:hAnsi="Symbol" w:hint="default"/>
      </w:rPr>
    </w:lvl>
    <w:lvl w:ilvl="1"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>
      <w:numFmt w:val="bullet"/>
      <w:lvlText w:val=""/>
      <w:lvlJc w:val="left"/>
      <w:pPr>
        <w:ind w:hanging="360" w:left="2160"/>
      </w:pPr>
      <w:rPr>
        <w:rFonts w:ascii="Wingdings" w:cs="Wingdings" w:hAnsi="Wingdings" w:hint="default"/>
      </w:rPr>
    </w:lvl>
    <w:lvl w:ilvl="3">
      <w:numFmt w:val="bullet"/>
      <w:lvlText w:val=""/>
      <w:lvlJc w:val="left"/>
      <w:pPr>
        <w:ind w:hanging="360" w:left="2880"/>
      </w:pPr>
      <w:rPr>
        <w:rFonts w:ascii="Symbol" w:cs="Symbol" w:hAnsi="Symbol" w:hint="default"/>
      </w:rPr>
    </w:lvl>
    <w:lvl w:ilvl="4"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>
      <w:numFmt w:val="bullet"/>
      <w:lvlText w:val=""/>
      <w:lvlJc w:val="left"/>
      <w:pPr>
        <w:ind w:hanging="360" w:left="4320"/>
      </w:pPr>
      <w:rPr>
        <w:rFonts w:ascii="Wingdings" w:cs="Wingdings" w:hAnsi="Wingdings" w:hint="default"/>
      </w:rPr>
    </w:lvl>
    <w:lvl w:ilvl="6">
      <w:numFmt w:val="bullet"/>
      <w:lvlText w:val=""/>
      <w:lvlJc w:val="left"/>
      <w:pPr>
        <w:ind w:hanging="360" w:left="5040"/>
      </w:pPr>
      <w:rPr>
        <w:rFonts w:ascii="Symbol" w:cs="Symbol" w:hAnsi="Symbol" w:hint="default"/>
      </w:rPr>
    </w:lvl>
    <w:lvl w:ilvl="7"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>
      <w:numFmt w:val="bullet"/>
      <w:lvlText w:val=""/>
      <w:lvlJc w:val="left"/>
      <w:pPr>
        <w:ind w:hanging="360" w:left="6480"/>
      </w:pPr>
      <w:rPr>
        <w:rFonts w:ascii="Wingdings" w:cs="Wingdings" w:hAnsi="Wingdings" w:hint="default"/>
      </w:rPr>
    </w:lvl>
  </w:abstractNum>
  <w:abstractNum w15:restartNumberingAfterBreak="0" w:abstractNumId="2">
    <w:nsid w:val="04352475"/>
    <w:multiLevelType w:val="multilevel"/>
    <w:tmpl w:val="0B5C3C7C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15:restartNumberingAfterBreak="0" w:abstractNumId="3">
    <w:nsid w:val="27580FEE"/>
    <w:multiLevelType w:val="multilevel"/>
    <w:tmpl w:val="9D544CDC"/>
    <w:styleLink w:val="CurrentList2"/>
    <w:lvl w:ilvl="0">
      <w:start w:val="1"/>
      <w:numFmt w:val="decimal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15:restartNumberingAfterBreak="0" w:abstractNumId="4">
    <w:nsid w:val="400A04EB"/>
    <w:multiLevelType w:val="hybridMultilevel"/>
    <w:tmpl w:val="C7FEDEBC"/>
    <w:lvl w:ilvl="0" w:tplc="7876CDB4">
      <w:numFmt w:val="bullet"/>
      <w:lvlText w:val="-"/>
      <w:lvlJc w:val="left"/>
      <w:pPr>
        <w:ind w:hanging="360" w:left="720"/>
      </w:pPr>
      <w:rPr>
        <w:rFonts w:ascii="Calibri Light" w:cstheme="minorBidi" w:eastAsiaTheme="minorHAnsi" w:hAnsi="Calibri Light" w:hint="default"/>
      </w:rPr>
    </w:lvl>
    <w:lvl w:ilvl="1" w:tentative="1" w:tplc="04090003">
      <w:start w:val="1"/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 w:tentative="1" w:tplc="04090005">
      <w:start w:val="1"/>
      <w:numFmt w:val="bullet"/>
      <w:lvlText w:val=""/>
      <w:lvlJc w:val="left"/>
      <w:pPr>
        <w:ind w:hanging="360" w:left="2160"/>
      </w:pPr>
      <w:rPr>
        <w:rFonts w:ascii="Wingdings" w:hAnsi="Wingdings" w:hint="default"/>
      </w:rPr>
    </w:lvl>
    <w:lvl w:ilvl="3" w:tentative="1" w:tplc="04090001">
      <w:start w:val="1"/>
      <w:numFmt w:val="bullet"/>
      <w:lvlText w:val=""/>
      <w:lvlJc w:val="left"/>
      <w:pPr>
        <w:ind w:hanging="360" w:left="2880"/>
      </w:pPr>
      <w:rPr>
        <w:rFonts w:ascii="Symbol" w:hAnsi="Symbol" w:hint="default"/>
      </w:rPr>
    </w:lvl>
    <w:lvl w:ilvl="4" w:tentative="1" w:tplc="04090003">
      <w:start w:val="1"/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 w:tentative="1" w:tplc="04090005">
      <w:start w:val="1"/>
      <w:numFmt w:val="bullet"/>
      <w:lvlText w:val=""/>
      <w:lvlJc w:val="left"/>
      <w:pPr>
        <w:ind w:hanging="360" w:left="4320"/>
      </w:pPr>
      <w:rPr>
        <w:rFonts w:ascii="Wingdings" w:hAnsi="Wingdings" w:hint="default"/>
      </w:rPr>
    </w:lvl>
    <w:lvl w:ilvl="6" w:tentative="1" w:tplc="04090001">
      <w:start w:val="1"/>
      <w:numFmt w:val="bullet"/>
      <w:lvlText w:val=""/>
      <w:lvlJc w:val="left"/>
      <w:pPr>
        <w:ind w:hanging="360" w:left="5040"/>
      </w:pPr>
      <w:rPr>
        <w:rFonts w:ascii="Symbol" w:hAnsi="Symbol" w:hint="default"/>
      </w:rPr>
    </w:lvl>
    <w:lvl w:ilvl="7" w:tentative="1" w:tplc="04090003">
      <w:start w:val="1"/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 w:tentative="1" w:tplc="04090005">
      <w:start w:val="1"/>
      <w:numFmt w:val="bullet"/>
      <w:lvlText w:val=""/>
      <w:lvlJc w:val="left"/>
      <w:pPr>
        <w:ind w:hanging="360" w:left="6480"/>
      </w:pPr>
      <w:rPr>
        <w:rFonts w:ascii="Wingdings" w:hAnsi="Wingdings" w:hint="default"/>
      </w:rPr>
    </w:lvl>
  </w:abstractNum>
  <w:abstractNum w15:restartNumberingAfterBreak="0" w:abstractNumId="5">
    <w:nsid w:val="50E51DAE"/>
    <w:multiLevelType w:val="multilevel"/>
    <w:tmpl w:val="563A878E"/>
    <w:styleLink w:val="CurrentList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15:restartNumberingAfterBreak="0" w:abstractNumId="6">
    <w:nsid w:val="52107C0B"/>
    <w:multiLevelType w:val="multilevel"/>
    <w:tmpl w:val="BBB8FE78"/>
    <w:lvl w:ilvl="0">
      <w:start w:val="1"/>
      <w:numFmt w:val="decimal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15:restartNumberingAfterBreak="0" w:abstractNumId="7">
    <w:nsid w:val="7CD12584"/>
    <w:multiLevelType w:val="multilevel"/>
    <w:tmpl w:val="06BCBE18"/>
    <w:lvl w:ilvl="0">
      <w:start w:val="1"/>
      <w:numFmt w:val="decimal"/>
      <w:pStyle w:val="Heading1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abstractNum w:abstractNumId="991">
    <w:nsid w:val="0000A991"/>
    <w:multiLevelType w:val="multilevel"/>
    <w:lvl w:ilvl="0">
      <w:numFmt w:val="bullet"/>
      <w:lvlText w:val="•"/>
      <w:lvlJc w:val="left"/>
      <w:pPr>
        <w:ind w:left="720" w:hanging="480"/>
      </w:pPr>
    </w:lvl>
    <w:lvl w:ilvl="1">
      <w:numFmt w:val="bullet"/>
      <w:lvlText w:val="–"/>
      <w:lvlJc w:val="left"/>
      <w:pPr>
        <w:ind w:left="1440" w:hanging="480"/>
      </w:pPr>
    </w:lvl>
    <w:lvl w:ilvl="2">
      <w:numFmt w:val="bullet"/>
      <w:lvlText w:val="•"/>
      <w:lvlJc w:val="left"/>
      <w:pPr>
        <w:ind w:left="2160" w:hanging="480"/>
      </w:pPr>
    </w:lvl>
    <w:lvl w:ilvl="3">
      <w:numFmt w:val="bullet"/>
      <w:lvlText w:val="–"/>
      <w:lvlJc w:val="left"/>
      <w:pPr>
        <w:ind w:left="2880" w:hanging="480"/>
      </w:pPr>
    </w:lvl>
    <w:lvl w:ilvl="4">
      <w:numFmt w:val="bullet"/>
      <w:lvlText w:val="•"/>
      <w:lvlJc w:val="left"/>
      <w:pPr>
        <w:ind w:left="3600" w:hanging="480"/>
      </w:pPr>
    </w:lvl>
    <w:lvl w:ilvl="5">
      <w:numFmt w:val="bullet"/>
      <w:lvlText w:val="–"/>
      <w:lvlJc w:val="left"/>
      <w:pPr>
        <w:ind w:left="4320" w:hanging="480"/>
      </w:pPr>
    </w:lvl>
    <w:lvl w:ilvl="6">
      <w:numFmt w:val="bullet"/>
      <w:lvlText w:val="•"/>
      <w:lvlJc w:val="left"/>
      <w:pPr>
        <w:ind w:left="5040" w:hanging="480"/>
      </w:pPr>
    </w:lvl>
    <w:lvl w:ilvl="7">
      <w:numFmt w:val="bullet"/>
      <w:lvlText w:val="–"/>
      <w:lvlJc w:val="left"/>
      <w:pPr>
        <w:ind w:left="5760" w:hanging="480"/>
      </w:pPr>
    </w:lvl>
    <w:lvl w:ilvl="8">
      <w:numFmt w:val="bullet"/>
      <w:lvlText w:val="•"/>
      <w:lvlJc w:val="left"/>
      <w:pPr>
        <w:ind w:left="6480" w:hanging="480"/>
      </w:pPr>
    </w:lvl>
  </w:abstractNum>
  <w:num w16cid:durableId="1720471213" w:numId="1">
    <w:abstractNumId w:val="2"/>
  </w:num>
  <w:num w16cid:durableId="1648320710" w:numId="2">
    <w:abstractNumId w:val="5"/>
  </w:num>
  <w:num w16cid:durableId="2017804043" w:numId="3">
    <w:abstractNumId w:val="6"/>
  </w:num>
  <w:num w16cid:durableId="1651909906" w:numId="4">
    <w:abstractNumId w:val="3"/>
  </w:num>
  <w:num w16cid:durableId="521095555" w:numId="5">
    <w:abstractNumId w:val="7"/>
  </w:num>
  <w:num w16cid:durableId="817499995" w:numId="6">
    <w:abstractNumId w:val="4"/>
  </w:num>
  <w:num w16cid:durableId="1906332917" w:numId="7">
    <w:abstractNumId w:val="0"/>
  </w:num>
  <w:num w16cid:durableId="1745058132" w:numId="8">
    <w:abstractNumId w:val="1"/>
  </w:num>
  <w:num w16cid:durableId="1817255597" w:numId="9">
    <w:abstractNumId w:val="1"/>
  </w:num>
  <w:num w16cid:durableId="172231987" w:numId="10">
    <w:abstractNumId w:val="1"/>
  </w:num>
  <w:num w16cid:durableId="92215818" w:numId="11">
    <w:abstractNumId w:val="1"/>
  </w:num>
  <w:num w16cid:durableId="1483934940" w:numId="12">
    <w:abstractNumId w:val="1"/>
  </w:num>
  <w:num w16cid:durableId="1150366971" w:numId="13">
    <w:abstractNumId w:val="1"/>
  </w:num>
  <w:num w16cid:durableId="1761292258" w:numId="14">
    <w:abstractNumId w:val="1"/>
  </w:num>
  <w:num w16cid:durableId="346903929" w:numId="15">
    <w:abstractNumId w:val="1"/>
  </w:num>
  <w:num w16cid:durableId="1559971392" w:numId="16">
    <w:abstractNumId w:val="1"/>
  </w:num>
  <w:num w16cid:durableId="517354298" w:numId="17">
    <w:abstractNumId w:val="1"/>
  </w:num>
  <w:num w16cid:durableId="833032575" w:numId="18">
    <w:abstractNumId w:val="1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  <w:num w:numId="1005">
    <w:abstractNumId w:val="991"/>
  </w:num>
  <w:num w:numId="1006">
    <w:abstractNumId w:val="991"/>
  </w:num>
  <w:num w:numId="1007">
    <w:abstractNumId w:val="991"/>
  </w:num>
  <w:num w:numId="1008">
    <w:abstractNumId w:val="991"/>
  </w:num>
  <w:num w:numId="1009">
    <w:abstractNumId w:val="991"/>
  </w:num>
  <w:num w:numId="1010">
    <w:abstractNumId w:val="991"/>
  </w:num>
  <w:num w:numId="1011">
    <w:abstractNumId w:val="991"/>
  </w:num>
  <w:num w:numId="1012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60"/>
  <w:embedSystemFonts/>
  <w:proofState w:grammar="clean" w:spelling="clean"/>
  <w:stylePaneFormatFilter w:allStyles="0" w:alternateStyleNames="0" w:clearFormatting="1" w:customStyles="0" w:directFormattingOnNumbering="0" w:directFormattingOnParagraphs="0" w:directFormattingOnRuns="0" w:directFormattingOnTables="0" w:headingStyles="0" w:latentStyles="1" w:numberingStyles="0" w:stylesInUse="0" w:tableStyles="0" w:top3HeadingStyles="0" w:val="1004" w:visibleStyles="0"/>
  <w:doNotTrackMoves/>
  <w:defaultTabStop w:val="720"/>
  <w:defaultTableStyle w:val="TableGrid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footnotePr>
    <w:footnote w:id="-1"/>
    <w:footnote w:id="0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1D39"/>
    <w:rsid w:val="001509A7"/>
    <w:rsid w:val="00267AAB"/>
    <w:rsid w:val="003A690E"/>
    <w:rsid w:val="00414B90"/>
    <w:rsid w:val="004528CD"/>
    <w:rsid w:val="00526565"/>
    <w:rsid w:val="00541D66"/>
    <w:rsid w:val="00544B38"/>
    <w:rsid w:val="00565810"/>
    <w:rsid w:val="006148BD"/>
    <w:rsid w:val="00666DED"/>
    <w:rsid w:val="008165A3"/>
    <w:rsid w:val="00860E1D"/>
    <w:rsid w:val="008852B8"/>
    <w:rsid w:val="0094385A"/>
    <w:rsid w:val="00A1506E"/>
    <w:rsid w:val="00A64414"/>
    <w:rsid w:val="00AC12F5"/>
    <w:rsid w:val="00AD54C5"/>
    <w:rsid w:val="00B03303"/>
    <w:rsid w:val="00B31D39"/>
    <w:rsid w:val="00DE2473"/>
    <w:rsid w:val="00E0006B"/>
    <w:rsid w:val="00E218FB"/>
    <w:rsid w:val="00E820F7"/>
    <w:rsid w:val="00EB543D"/>
    <w:rsid w:val="00F41D15"/>
    <w:rsid w:val="00FA1C42"/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HAnsi" w:hAnsiTheme="minorHAnsi"/>
        <w:kern w:val="2"/>
        <w:sz w:val="24"/>
        <w:szCs w:val="24"/>
        <w:lang w:bidi="ar-SA" w:eastAsia="en-US" w:val="en-US"/>
        <w14:ligatures w14:val="standardContextual"/>
      </w:rPr>
    </w:rPrDefault>
    <w:pPrDefault>
      <w:pPr>
        <w:spacing w:after="160" w:line="27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Normal" w:type="paragraph">
    <w:name w:val="Normal"/>
    <w:qFormat/>
    <w:rsid w:val="00B31D39"/>
    <w:rPr>
      <w:rFonts w:ascii="Calibri" w:hAnsi="Calibri"/>
    </w:rPr>
  </w:style>
  <w:style w:styleId="Heading1" w:type="paragraph">
    <w:name w:val="heading 1"/>
    <w:basedOn w:val="Normal"/>
    <w:next w:val="Normal"/>
    <w:link w:val="Heading1Char"/>
    <w:uiPriority w:val="9"/>
    <w:qFormat/>
    <w:rsid w:val="00B31D39"/>
    <w:pPr>
      <w:keepNext/>
      <w:keepLines/>
      <w:numPr>
        <w:numId w:val="5"/>
      </w:numPr>
      <w:spacing w:after="80" w:before="360"/>
      <w:outlineLvl w:val="0"/>
    </w:pPr>
    <w:rPr>
      <w:rFonts w:cstheme="majorBidi" w:eastAsiaTheme="majorEastAsia"/>
      <w:b/>
      <w:color w:themeColor="accent1" w:themeShade="BF" w:val="0F4761"/>
      <w:sz w:val="40"/>
      <w:szCs w:val="40"/>
    </w:rPr>
  </w:style>
  <w:style w:styleId="Heading2" w:type="paragraph">
    <w:name w:val="heading 2"/>
    <w:basedOn w:val="Heading1"/>
    <w:next w:val="Normal"/>
    <w:link w:val="Heading2Char"/>
    <w:uiPriority w:val="9"/>
    <w:unhideWhenUsed/>
    <w:qFormat/>
    <w:rsid w:val="00FA1C42"/>
    <w:pPr>
      <w:numPr>
        <w:ilvl w:val="1"/>
      </w:numPr>
      <w:spacing w:before="160"/>
      <w:ind w:left="432"/>
      <w:outlineLvl w:val="1"/>
    </w:pPr>
    <w:rPr>
      <w:sz w:val="32"/>
      <w:szCs w:val="32"/>
    </w:rPr>
  </w:style>
  <w:style w:styleId="Heading3" w:type="paragraph">
    <w:name w:val="heading 3"/>
    <w:basedOn w:val="Heading2"/>
    <w:next w:val="Normal"/>
    <w:link w:val="Heading3Char"/>
    <w:uiPriority w:val="9"/>
    <w:unhideWhenUsed/>
    <w:qFormat/>
    <w:rsid w:val="00FA1C42"/>
    <w:pPr>
      <w:numPr>
        <w:ilvl w:val="2"/>
      </w:numPr>
      <w:ind w:left="504"/>
      <w:outlineLvl w:val="2"/>
    </w:pPr>
    <w:rPr>
      <w:rFonts w:cs="Times New Roman (Headings CS)"/>
      <w:sz w:val="28"/>
      <w:szCs w:val="28"/>
    </w:rPr>
  </w:style>
  <w:style w:styleId="Heading4" w:type="paragraph">
    <w:name w:val="heading 4"/>
    <w:basedOn w:val="Normal"/>
    <w:next w:val="Normal"/>
    <w:link w:val="Heading4Char"/>
    <w:uiPriority w:val="9"/>
    <w:semiHidden/>
    <w:unhideWhenUsed/>
    <w:qFormat/>
    <w:rsid w:val="00B31D3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Normal"/>
    <w:link w:val="Heading5Char"/>
    <w:uiPriority w:val="9"/>
    <w:semiHidden/>
    <w:unhideWhenUsed/>
    <w:qFormat/>
    <w:rsid w:val="00B31D3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Normal"/>
    <w:link w:val="Heading6Char"/>
    <w:uiPriority w:val="9"/>
    <w:semiHidden/>
    <w:unhideWhenUsed/>
    <w:qFormat/>
    <w:rsid w:val="00B31D3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Normal"/>
    <w:link w:val="Heading7Char"/>
    <w:uiPriority w:val="9"/>
    <w:semiHidden/>
    <w:unhideWhenUsed/>
    <w:qFormat/>
    <w:rsid w:val="00B31D3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Normal"/>
    <w:link w:val="Heading8Char"/>
    <w:uiPriority w:val="9"/>
    <w:semiHidden/>
    <w:unhideWhenUsed/>
    <w:qFormat/>
    <w:rsid w:val="00B31D3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Normal"/>
    <w:link w:val="Heading9Char"/>
    <w:uiPriority w:val="9"/>
    <w:semiHidden/>
    <w:unhideWhenUsed/>
    <w:qFormat/>
    <w:rsid w:val="00B31D3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B31D39"/>
    <w:rPr>
      <w:rFonts w:ascii="Calibri" w:cstheme="majorBidi" w:eastAsiaTheme="majorEastAsia" w:hAnsi="Calibri"/>
      <w:b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rsid w:val="00FA1C42"/>
    <w:rPr>
      <w:rFonts w:ascii="Calibri" w:cstheme="majorBidi" w:eastAsiaTheme="majorEastAsia" w:hAnsi="Calibri"/>
      <w:b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rsid w:val="00FA1C42"/>
    <w:rPr>
      <w:rFonts w:ascii="Calibri" w:cs="Times New Roman (Headings CS)" w:eastAsiaTheme="majorEastAsia" w:hAnsi="Calibri"/>
      <w:b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B31D3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B31D3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B31D3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B31D3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B31D3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B31D39"/>
    <w:rPr>
      <w:rFonts w:cstheme="majorBidi" w:eastAsiaTheme="majorEastAsia"/>
      <w:color w:themeColor="text1" w:themeTint="D8" w:val="272727"/>
    </w:rPr>
  </w:style>
  <w:style w:styleId="Title" w:type="paragraph">
    <w:name w:val="Title"/>
    <w:basedOn w:val="Normal"/>
    <w:next w:val="Normal"/>
    <w:link w:val="TitleChar"/>
    <w:uiPriority w:val="10"/>
    <w:qFormat/>
    <w:rsid w:val="00B31D39"/>
    <w:pPr>
      <w:spacing w:after="80" w:line="240" w:lineRule="auto"/>
      <w:contextualSpacing/>
    </w:pPr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B31D39"/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styleId="Subtitle" w:type="paragraph">
    <w:name w:val="Subtitle"/>
    <w:basedOn w:val="Normal"/>
    <w:next w:val="Normal"/>
    <w:link w:val="SubtitleChar"/>
    <w:uiPriority w:val="11"/>
    <w:qFormat/>
    <w:rsid w:val="00B31D39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B31D3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Quote" w:type="paragraph">
    <w:name w:val="Quote"/>
    <w:basedOn w:val="Normal"/>
    <w:next w:val="Normal"/>
    <w:link w:val="QuoteChar"/>
    <w:uiPriority w:val="29"/>
    <w:qFormat/>
    <w:rsid w:val="00B31D39"/>
    <w:pPr>
      <w:spacing w:before="160"/>
      <w:jc w:val="center"/>
    </w:pPr>
    <w:rPr>
      <w:i/>
      <w:iCs/>
      <w:color w:themeColor="text1" w:themeTint="BF" w:val="404040"/>
    </w:rPr>
  </w:style>
  <w:style w:customStyle="1" w:styleId="QuoteChar" w:type="character">
    <w:name w:val="Quote Char"/>
    <w:basedOn w:val="DefaultParagraphFont"/>
    <w:link w:val="Quote"/>
    <w:uiPriority w:val="29"/>
    <w:rsid w:val="00B31D39"/>
    <w:rPr>
      <w:i/>
      <w:iCs/>
      <w:color w:themeColor="text1" w:themeTint="BF" w:val="404040"/>
    </w:rPr>
  </w:style>
  <w:style w:styleId="ListParagraph" w:type="paragraph">
    <w:name w:val="List Paragraph"/>
    <w:basedOn w:val="Normal"/>
    <w:uiPriority w:val="34"/>
    <w:qFormat/>
    <w:rsid w:val="00B31D39"/>
    <w:pPr>
      <w:ind w:left="720"/>
      <w:contextualSpacing/>
    </w:pPr>
  </w:style>
  <w:style w:styleId="IntenseEmphasis" w:type="character">
    <w:name w:val="Intense Emphasis"/>
    <w:basedOn w:val="DefaultParagraphFont"/>
    <w:uiPriority w:val="21"/>
    <w:qFormat/>
    <w:rsid w:val="00B31D39"/>
    <w:rPr>
      <w:i/>
      <w:iCs/>
      <w:color w:themeColor="accent1" w:themeShade="BF" w:val="0F4761"/>
    </w:rPr>
  </w:style>
  <w:style w:styleId="IntenseQuote" w:type="paragraph">
    <w:name w:val="Intense Quote"/>
    <w:basedOn w:val="Normal"/>
    <w:next w:val="Normal"/>
    <w:link w:val="IntenseQuoteChar"/>
    <w:uiPriority w:val="30"/>
    <w:qFormat/>
    <w:rsid w:val="00B31D39"/>
    <w:pPr>
      <w:pBdr>
        <w:top w:color="0F4761" w:space="10" w:sz="4" w:themeColor="accent1" w:themeShade="BF" w:val="single"/>
        <w:bottom w:color="0F4761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0F4761"/>
    </w:rPr>
  </w:style>
  <w:style w:customStyle="1" w:styleId="IntenseQuoteChar" w:type="character">
    <w:name w:val="Intense Quote Char"/>
    <w:basedOn w:val="DefaultParagraphFont"/>
    <w:link w:val="IntenseQuote"/>
    <w:uiPriority w:val="30"/>
    <w:rsid w:val="00B31D39"/>
    <w:rPr>
      <w:i/>
      <w:iCs/>
      <w:color w:themeColor="accent1" w:themeShade="BF" w:val="0F4761"/>
    </w:rPr>
  </w:style>
  <w:style w:styleId="IntenseReference" w:type="character">
    <w:name w:val="Intense Reference"/>
    <w:basedOn w:val="DefaultParagraphFont"/>
    <w:uiPriority w:val="32"/>
    <w:qFormat/>
    <w:rsid w:val="00B31D39"/>
    <w:rPr>
      <w:b/>
      <w:bCs/>
      <w:smallCaps/>
      <w:color w:themeColor="accent1" w:themeShade="BF" w:val="0F4761"/>
      <w:spacing w:val="5"/>
    </w:rPr>
  </w:style>
  <w:style w:customStyle="1" w:styleId="CurrentList1" w:type="numbering">
    <w:name w:val="Current List1"/>
    <w:uiPriority w:val="99"/>
    <w:rsid w:val="00B31D39"/>
    <w:pPr>
      <w:numPr>
        <w:numId w:val="2"/>
      </w:numPr>
    </w:pPr>
  </w:style>
  <w:style w:customStyle="1" w:styleId="CurrentList2" w:type="numbering">
    <w:name w:val="Current List2"/>
    <w:uiPriority w:val="99"/>
    <w:rsid w:val="00B31D39"/>
    <w:pPr>
      <w:numPr>
        <w:numId w:val="4"/>
      </w:numPr>
    </w:pPr>
  </w:style>
  <w:style w:styleId="TableGrid" w:type="table">
    <w:name w:val="Table Grid"/>
    <w:basedOn w:val="TableNormal"/>
    <w:uiPriority w:val="39"/>
    <w:rsid w:val="008852B8"/>
    <w:pPr>
      <w:spacing w:after="0" w:line="240" w:lineRule="auto"/>
    </w:pPr>
    <w:rPr>
      <w:rFonts w:ascii="Calibri" w:hAnsi="Calibr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blStylePr w:type="firstRow">
      <w:rPr>
        <w:b/>
      </w:rPr>
      <w:tblPr/>
      <w:tcPr>
        <w:shd w:color="auto" w:fill="A5C9EB" w:themeFill="text2" w:themeFillTint="40" w:val="clear"/>
      </w:tcPr>
    </w:tblStylePr>
  </w:style>
  <w:style w:styleId="PlainTable1" w:type="table">
    <w:name w:val="Plain Table 1"/>
    <w:basedOn w:val="TableNormal"/>
    <w:uiPriority w:val="41"/>
    <w:rsid w:val="00E820F7"/>
    <w:pPr>
      <w:spacing w:after="0" w:line="240" w:lineRule="auto"/>
    </w:pPr>
    <w:tblPr>
      <w:tblStyleRowBandSize w:val="1"/>
      <w:tblStyleColBandSize w:val="1"/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FBFBF" w:space="0" w:sz="4" w:themeColor="background1" w:themeShade="BF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2F2F2" w:themeFill="background1" w:themeFillShade="F2" w:val="clear"/>
      </w:tcPr>
    </w:tblStylePr>
    <w:tblStylePr w:type="band1Horz">
      <w:tblPr/>
      <w:tcPr>
        <w:shd w:color="auto" w:fill="F2F2F2" w:themeFill="background1" w:themeFillShade="F2" w:val="clear"/>
      </w:tcPr>
    </w:tblStylePr>
  </w:style>
  <w:style w:customStyle="1" w:styleId="SourceCode" w:type="paragraph">
    <w:name w:val="Source Code"/>
    <w:basedOn w:val="Normal"/>
    <w:pPr>
      <w:wordWrap w:val="0"/>
    </w:p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Pr>
      <w:i/>
      <w:color w:val="60A0B0"/>
    </w:rPr>
  </w:style>
  <w:style w:customStyle="1" w:styleId="DocumentationTok" w:type="character">
    <w:name w:val="DocumentationTok"/>
    <w:rPr>
      <w:i/>
      <w:color w:val="BA2121"/>
    </w:rPr>
  </w:style>
  <w:style w:customStyle="1" w:styleId="AnnotationTok" w:type="character">
    <w:name w:val="AnnotationTok"/>
    <w:rPr>
      <w:b/>
      <w:i/>
      <w:color w:val="60A0B0"/>
    </w:rPr>
  </w:style>
  <w:style w:customStyle="1" w:styleId="CommentVarTok" w:type="character">
    <w:name w:val="CommentVarTok"/>
    <w:rPr>
      <w:b/>
      <w:i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Pr>
      <w:b/>
      <w:i/>
      <w:color w:val="60A0B0"/>
    </w:rPr>
  </w:style>
  <w:style w:customStyle="1" w:styleId="WarningTok" w:type="character">
    <w:name w:val="WarningTok"/>
    <w:rPr>
      <w:b/>
      <w:i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7" Type="http://schemas.openxmlformats.org/officeDocument/2006/relationships/footnotes" Target="footnotes.xml"/><Relationship Id="rId8" Type="http://schemas.openxmlformats.org/officeDocument/2006/relationships/comments" Target="comments.xml"/><Relationship Id="rId23" Type="http://schemas.openxmlformats.org/officeDocument/2006/relationships/image" Target="media/rId23.png"/><Relationship Id="rId20" Type="http://schemas.openxmlformats.org/officeDocument/2006/relationships/image" Target="media/rId20.png"/><Relationship Id="rId45" Type="http://schemas.openxmlformats.org/officeDocument/2006/relationships/hyperlink" Target="https://www.inrs.fr/publications/bdd/fichetox/fiche.html?refINRS=FICHETOX_290" TargetMode="External"/><Relationship Id="rId48" Type="http://schemas.openxmlformats.org/officeDocument/2006/relationships/hyperlink" Target="https://www.inrs.fr/publications/bdd/fichetox/fiche.html?refINRS=FICHETOX_290&amp;section=VLEPMesurage" TargetMode="External"/><Relationship Id="rId53" Type="http://schemas.openxmlformats.org/officeDocument/2006/relationships/hyperlink" Target="https://www.inrs.fr/publications/bdd/fichetox/fiche.html?refINRS=FICHETOX_290&amp;section=bibliographieAuteurs" TargetMode="External"/><Relationship Id="rId47" Type="http://schemas.openxmlformats.org/officeDocument/2006/relationships/hyperlink" Target="https://www.inrs.fr/publications/bdd/fichetox/fiche.html?refINRS=FICHETOX_290&amp;section=caracteristiques" TargetMode="External"/><Relationship Id="rId46" Type="http://schemas.openxmlformats.org/officeDocument/2006/relationships/hyperlink" Target="https://www.inrs.fr/publications/bdd/fichetox/fiche.html?refINRS=FICHETOX_290&amp;section=generalites" TargetMode="External"/><Relationship Id="rId49" Type="http://schemas.openxmlformats.org/officeDocument/2006/relationships/hyperlink" Target="https://www.inrs.fr/publications/bdd/fichetox/fiche.html?refINRS=FICHETOX_290&amp;section=incendieExplosion" TargetMode="External"/><Relationship Id="rId50" Type="http://schemas.openxmlformats.org/officeDocument/2006/relationships/hyperlink" Target="https://www.inrs.fr/publications/bdd/fichetox/fiche.html?refINRS=FICHETOX_290&amp;section=pathologieToxicologie" TargetMode="External"/><Relationship Id="rId52" Type="http://schemas.openxmlformats.org/officeDocument/2006/relationships/hyperlink" Target="https://www.inrs.fr/publications/bdd/fichetox/fiche.html?refINRS=FICHETOX_290&amp;section=recommandations" TargetMode="External"/><Relationship Id="rId51" Type="http://schemas.openxmlformats.org/officeDocument/2006/relationships/hyperlink" Target="https://www.inrs.fr/publications/bdd/fichetox/fiche.html?refINRS=FICHETOX_290&amp;section=reglementation" TargetMode="External"/><Relationship Id="rId32" Type="http://schemas.openxmlformats.org/officeDocument/2006/relationships/hyperlink" Target="https://www.inrs.fr/publications/bdd/fichetox/fiche.html?refINRS=FICHETOX_66" TargetMode="External"/><Relationship Id="rId35" Type="http://schemas.openxmlformats.org/officeDocument/2006/relationships/hyperlink" Target="https://www.inrs.fr/publications/bdd/fichetox/fiche.html?refINRS=FICHETOX_66&amp;section=VLEPMesurage" TargetMode="External"/><Relationship Id="rId40" Type="http://schemas.openxmlformats.org/officeDocument/2006/relationships/hyperlink" Target="https://www.inrs.fr/publications/bdd/fichetox/fiche.html?refINRS=FICHETOX_66&amp;section=bibliographieAuteurs" TargetMode="External"/><Relationship Id="rId34" Type="http://schemas.openxmlformats.org/officeDocument/2006/relationships/hyperlink" Target="https://www.inrs.fr/publications/bdd/fichetox/fiche.html?refINRS=FICHETOX_66&amp;section=caracteristiques" TargetMode="External"/><Relationship Id="rId33" Type="http://schemas.openxmlformats.org/officeDocument/2006/relationships/hyperlink" Target="https://www.inrs.fr/publications/bdd/fichetox/fiche.html?refINRS=FICHETOX_66&amp;section=generalites" TargetMode="External"/><Relationship Id="rId36" Type="http://schemas.openxmlformats.org/officeDocument/2006/relationships/hyperlink" Target="https://www.inrs.fr/publications/bdd/fichetox/fiche.html?refINRS=FICHETOX_66&amp;section=incendieExplosion" TargetMode="External"/><Relationship Id="rId37" Type="http://schemas.openxmlformats.org/officeDocument/2006/relationships/hyperlink" Target="https://www.inrs.fr/publications/bdd/fichetox/fiche.html?refINRS=FICHETOX_66&amp;section=pathologieToxicologie" TargetMode="External"/><Relationship Id="rId39" Type="http://schemas.openxmlformats.org/officeDocument/2006/relationships/hyperlink" Target="https://www.inrs.fr/publications/bdd/fichetox/fiche.html?refINRS=FICHETOX_66&amp;section=recommandations" TargetMode="External"/><Relationship Id="rId38" Type="http://schemas.openxmlformats.org/officeDocument/2006/relationships/hyperlink" Target="https://www.inrs.fr/publications/bdd/fichetox/fiche.html?refINRS=FICHETOX_66&amp;section=reglementation" TargetMode="External"/></Relationships>
</file>

<file path=word/_rels/footnotes.xml.rels><?xml version='1.0' encoding='UTF-8' standalone='yes'?>
<Relationships xmlns="http://schemas.openxmlformats.org/package/2006/relationships"><Relationship Id="rId45" Type="http://schemas.openxmlformats.org/officeDocument/2006/relationships/hyperlink" Target="https://www.inrs.fr/publications/bdd/fichetox/fiche.html?refINRS=FICHETOX_290" TargetMode="External"/><Relationship Id="rId48" Type="http://schemas.openxmlformats.org/officeDocument/2006/relationships/hyperlink" Target="https://www.inrs.fr/publications/bdd/fichetox/fiche.html?refINRS=FICHETOX_290&amp;section=VLEPMesurage" TargetMode="External"/><Relationship Id="rId53" Type="http://schemas.openxmlformats.org/officeDocument/2006/relationships/hyperlink" Target="https://www.inrs.fr/publications/bdd/fichetox/fiche.html?refINRS=FICHETOX_290&amp;section=bibliographieAuteurs" TargetMode="External"/><Relationship Id="rId47" Type="http://schemas.openxmlformats.org/officeDocument/2006/relationships/hyperlink" Target="https://www.inrs.fr/publications/bdd/fichetox/fiche.html?refINRS=FICHETOX_290&amp;section=caracteristiques" TargetMode="External"/><Relationship Id="rId46" Type="http://schemas.openxmlformats.org/officeDocument/2006/relationships/hyperlink" Target="https://www.inrs.fr/publications/bdd/fichetox/fiche.html?refINRS=FICHETOX_290&amp;section=generalites" TargetMode="External"/><Relationship Id="rId49" Type="http://schemas.openxmlformats.org/officeDocument/2006/relationships/hyperlink" Target="https://www.inrs.fr/publications/bdd/fichetox/fiche.html?refINRS=FICHETOX_290&amp;section=incendieExplosion" TargetMode="External"/><Relationship Id="rId50" Type="http://schemas.openxmlformats.org/officeDocument/2006/relationships/hyperlink" Target="https://www.inrs.fr/publications/bdd/fichetox/fiche.html?refINRS=FICHETOX_290&amp;section=pathologieToxicologie" TargetMode="External"/><Relationship Id="rId52" Type="http://schemas.openxmlformats.org/officeDocument/2006/relationships/hyperlink" Target="https://www.inrs.fr/publications/bdd/fichetox/fiche.html?refINRS=FICHETOX_290&amp;section=recommandations" TargetMode="External"/><Relationship Id="rId51" Type="http://schemas.openxmlformats.org/officeDocument/2006/relationships/hyperlink" Target="https://www.inrs.fr/publications/bdd/fichetox/fiche.html?refINRS=FICHETOX_290&amp;section=reglementation" TargetMode="External"/><Relationship Id="rId32" Type="http://schemas.openxmlformats.org/officeDocument/2006/relationships/hyperlink" Target="https://www.inrs.fr/publications/bdd/fichetox/fiche.html?refINRS=FICHETOX_66" TargetMode="External"/><Relationship Id="rId35" Type="http://schemas.openxmlformats.org/officeDocument/2006/relationships/hyperlink" Target="https://www.inrs.fr/publications/bdd/fichetox/fiche.html?refINRS=FICHETOX_66&amp;section=VLEPMesurage" TargetMode="External"/><Relationship Id="rId40" Type="http://schemas.openxmlformats.org/officeDocument/2006/relationships/hyperlink" Target="https://www.inrs.fr/publications/bdd/fichetox/fiche.html?refINRS=FICHETOX_66&amp;section=bibliographieAuteurs" TargetMode="External"/><Relationship Id="rId34" Type="http://schemas.openxmlformats.org/officeDocument/2006/relationships/hyperlink" Target="https://www.inrs.fr/publications/bdd/fichetox/fiche.html?refINRS=FICHETOX_66&amp;section=caracteristiques" TargetMode="External"/><Relationship Id="rId33" Type="http://schemas.openxmlformats.org/officeDocument/2006/relationships/hyperlink" Target="https://www.inrs.fr/publications/bdd/fichetox/fiche.html?refINRS=FICHETOX_66&amp;section=generalites" TargetMode="External"/><Relationship Id="rId36" Type="http://schemas.openxmlformats.org/officeDocument/2006/relationships/hyperlink" Target="https://www.inrs.fr/publications/bdd/fichetox/fiche.html?refINRS=FICHETOX_66&amp;section=incendieExplosion" TargetMode="External"/><Relationship Id="rId37" Type="http://schemas.openxmlformats.org/officeDocument/2006/relationships/hyperlink" Target="https://www.inrs.fr/publications/bdd/fichetox/fiche.html?refINRS=FICHETOX_66&amp;section=pathologieToxicologie" TargetMode="External"/><Relationship Id="rId39" Type="http://schemas.openxmlformats.org/officeDocument/2006/relationships/hyperlink" Target="https://www.inrs.fr/publications/bdd/fichetox/fiche.html?refINRS=FICHETOX_66&amp;section=recommandations" TargetMode="External"/><Relationship Id="rId38" Type="http://schemas.openxmlformats.org/officeDocument/2006/relationships/hyperlink" Target="https://www.inrs.fr/publications/bdd/fichetox/fiche.html?refINRS=FICHETOX_66&amp;section=reglementatio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28</Words>
  <Characters>129</Characters>
  <Application>Microsoft Office Word</Application>
  <DocSecurity>0</DocSecurity>
  <Lines>11</Lines>
  <Paragraphs>13</Paragraphs>
  <ScaleCrop>false</ScaleCrop>
  <Company/>
  <LinksUpToDate>false</LinksUpToDate>
  <CharactersWithSpaces>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2026-04-07T16:32:00Z</dcterms:created>
  <dcterms:modified xsi:type="dcterms:W3CDTF">2026-04-07T16:32:00Z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