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16-385315msds_1892-s_fr_deofreshiris</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ITALCHIMICA s.r.l.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2026-04-07</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16-385315msds_1892-s_fr_deofreshiris</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79" w:name="X64bf54f0b673125804350acfbcd93c14f310f62"/>
    <w:p>
      <w:pPr>
        <w:pStyle w:val="Heading1"/>
      </w:pPr>
      <w:r>
        <w:t xml:space="preserve">Analyse des dangers : 16-385315msds_1892-s_fr_deofreshiris</w:t>
      </w:r>
    </w:p>
    <w:p>
      <w:pPr>
        <w:pStyle w:val="FirstParagraph"/>
      </w:pPr>
      <w:r>
        <w:t xml:space="preserve">Dans la suite, nous détaillons les dangers associés au produit</w:t>
      </w:r>
      <w:r>
        <w:t xml:space="preserve"> </w:t>
      </w:r>
      <w:r>
        <w:rPr>
          <w:b/>
          <w:bCs/>
        </w:rPr>
        <w:t xml:space="preserve">16-385315msds_1892-s_fr_deofreshiris</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ITALCHIMICA s.r.l.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5.5 +/- 0.5</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Aucune utilisation particulière.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2022-11-22</w:t>
            </w:r>
          </w:p>
        </w:tc>
      </w:tr>
    </w:tbl>
    <w:p>
      <w:pPr>
        <w:pStyle w:val="BodyText"/>
      </w:pPr>
      <w:r>
        <w:t xml:space="preserve"> </w:t>
      </w:r>
      <w:r>
        <w:t xml:space="preserve">La FDS date du 2022-11-22. Elle a donc 3 an(s).</w:t>
      </w:r>
      <w:r>
        <w:t xml:space="preserve"> </w:t>
      </w:r>
      <w:r>
        <w:t xml:space="preserve">La FDS ayant plus de 3 ans, il est</w:t>
      </w:r>
      <w:r>
        <w:t xml:space="preserve"> </w:t>
      </w:r>
      <w:r>
        <w:rPr>
          <w:i/>
          <w:iCs/>
        </w:rPr>
        <w:t xml:space="preserve">recommandé</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Isopropanol devrait être classée H225 selon les dernières classifications harmonisées publiées par l’ECHA</w:t>
      </w:r>
      <w:r>
        <w:br/>
      </w:r>
    </w:p>
    <w:p>
      <w:pPr>
        <w:pStyle w:val="Compact"/>
        <w:numPr>
          <w:ilvl w:val="0"/>
          <w:numId w:val="1003"/>
        </w:numPr>
      </w:pPr>
      <w:r>
        <w:t xml:space="preserve">La substance Isopropanol devrait être classée H319 selon les dernières classifications harmonisées publiées par l’ECHA</w:t>
      </w:r>
      <w:r>
        <w:br/>
      </w:r>
    </w:p>
    <w:p>
      <w:pPr>
        <w:pStyle w:val="Compact"/>
        <w:numPr>
          <w:ilvl w:val="0"/>
          <w:numId w:val="1003"/>
        </w:numPr>
      </w:pPr>
      <w:r>
        <w:t xml:space="preserve">La substance 2-méthyl-2H-isothiazol-3-one devrait être classée H318 selon les dernières classifications harmonisées publiées par l’ECHA</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Nocif / Irritant" title="" id="31" name="Picture"/>
            <a:graphic>
              <a:graphicData uri="http://schemas.openxmlformats.org/drawingml/2006/picture">
                <pic:pic>
                  <pic:nvPicPr>
                    <pic:cNvPr descr="templates/SGH07.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pStyle w:val="Compact"/>
        <w:numPr>
          <w:ilvl w:val="0"/>
          <w:numId w:val="1004"/>
        </w:numPr>
      </w:pPr>
      <w:r>
        <w:t xml:space="preserve">H319</w:t>
      </w:r>
      <w:r>
        <w:t xml:space="preserve"> </w:t>
      </w:r>
      <w:r>
        <w:t xml:space="preserve">Provoque une sévère irritation des yeux.</w:t>
      </w:r>
    </w:p>
    <w:p>
      <w:pPr>
        <w:pStyle w:val="FirstParagraph"/>
      </w:pPr>
      <w:r>
        <w:rPr>
          <w:b/>
          <w:bCs/>
        </w:rPr>
        <w:t xml:space="preserve">Conseils de prudence</w:t>
      </w:r>
      <w:r>
        <w:t xml:space="preserve"> </w:t>
      </w:r>
      <w:r>
        <w:t xml:space="preserve">:</w:t>
      </w:r>
    </w:p>
    <w:p>
      <w:pPr>
        <w:numPr>
          <w:ilvl w:val="0"/>
          <w:numId w:val="1005"/>
        </w:numPr>
      </w:pPr>
      <w:r>
        <w:t xml:space="preserve">P101</w:t>
      </w:r>
      <w:r>
        <w:t xml:space="preserve"> </w:t>
      </w:r>
      <w:r>
        <w:t xml:space="preserve">En cas de consultation d’un médecin, garder à disposition le récipient ou l’étiquette.</w:t>
      </w:r>
    </w:p>
    <w:p>
      <w:pPr>
        <w:numPr>
          <w:ilvl w:val="0"/>
          <w:numId w:val="1005"/>
        </w:numPr>
      </w:pPr>
      <w:r>
        <w:t xml:space="preserve">P102</w:t>
      </w:r>
      <w:r>
        <w:t xml:space="preserve"> </w:t>
      </w:r>
      <w:r>
        <w:t xml:space="preserve">Tenir hors de portée des enfants.</w:t>
      </w:r>
    </w:p>
    <w:p>
      <w:pPr>
        <w:numPr>
          <w:ilvl w:val="0"/>
          <w:numId w:val="1005"/>
        </w:numPr>
      </w:pPr>
      <w:r>
        <w:t xml:space="preserve">P103</w:t>
      </w:r>
      <w:r>
        <w:t xml:space="preserve"> </w:t>
      </w:r>
      <w:r>
        <w:t xml:space="preserve">Lire l’étiquette avant utilisation.</w:t>
      </w:r>
    </w:p>
    <w:p>
      <w:pPr>
        <w:numPr>
          <w:ilvl w:val="0"/>
          <w:numId w:val="1005"/>
        </w:numPr>
      </w:pPr>
      <w:r>
        <w:t xml:space="preserve">P264</w:t>
      </w:r>
      <w:r>
        <w:t xml:space="preserve"> </w:t>
      </w:r>
      <w:r>
        <w:t xml:space="preserve">Se laver … soigneusement après manipulation.</w:t>
      </w:r>
    </w:p>
    <w:p>
      <w:pPr>
        <w:numPr>
          <w:ilvl w:val="0"/>
          <w:numId w:val="1005"/>
        </w:numPr>
      </w:pPr>
      <w:r>
        <w:t xml:space="preserve">P280</w:t>
      </w:r>
      <w:r>
        <w:t xml:space="preserve"> </w:t>
      </w:r>
      <w:r>
        <w:t xml:space="preserve">Porter des gants de protection/des vêtements de protection/un équipement de protection des yeux/ du visage.</w:t>
      </w:r>
    </w:p>
    <w:p>
      <w:pPr>
        <w:numPr>
          <w:ilvl w:val="0"/>
          <w:numId w:val="1005"/>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pStyle w:val="FirstParagraph"/>
      </w:pPr>
      <w:r>
        <w:rPr>
          <w:b/>
          <w:bCs/>
        </w:rPr>
        <w:t xml:space="preserve">Transport</w:t>
      </w:r>
      <w:r>
        <w:t xml:space="preserve"> </w:t>
      </w:r>
      <w:r>
        <w:t xml:space="preserve">:</w:t>
      </w:r>
    </w:p>
    <w:p>
      <w:pPr>
        <w:pStyle w:val="Compact"/>
        <w:numPr>
          <w:ilvl w:val="0"/>
          <w:numId w:val="1006"/>
        </w:numPr>
      </w:pPr>
      <w:r>
        <w:t xml:space="preserve">ADR : pas disponible</w:t>
      </w:r>
    </w:p>
    <w:p>
      <w:pPr>
        <w:pStyle w:val="Compact"/>
        <w:numPr>
          <w:ilvl w:val="0"/>
          <w:numId w:val="1006"/>
        </w:numPr>
      </w:pPr>
      <w:r>
        <w:t xml:space="preserve">RID : pas disponible</w:t>
      </w:r>
    </w:p>
    <w:p>
      <w:pPr>
        <w:pStyle w:val="Compact"/>
        <w:numPr>
          <w:ilvl w:val="0"/>
          <w:numId w:val="1006"/>
        </w:numPr>
      </w:pPr>
      <w:r>
        <w:t xml:space="preserve">ADN : pas disponible</w:t>
      </w:r>
    </w:p>
    <w:p>
      <w:pPr>
        <w:pStyle w:val="Compact"/>
        <w:numPr>
          <w:ilvl w:val="0"/>
          <w:numId w:val="1006"/>
        </w:numPr>
      </w:pPr>
      <w:r>
        <w:t xml:space="preserve">IMDG : pas disponible</w:t>
      </w:r>
    </w:p>
    <w:p>
      <w:pPr>
        <w:pStyle w:val="Compact"/>
        <w:numPr>
          <w:ilvl w:val="0"/>
          <w:numId w:val="1006"/>
        </w:numPr>
      </w:pPr>
      <w:r>
        <w:t xml:space="preserve">IATA : pas disponible</w:t>
      </w:r>
    </w:p>
    <w:p>
      <w:pPr>
        <w:pStyle w:val="Compact"/>
        <w:numPr>
          <w:ilvl w:val="0"/>
          <w:numId w:val="1006"/>
        </w:numPr>
      </w:pPr>
      <w:r>
        <w:t xml:space="preserve">UN : pas disponible</w:t>
      </w:r>
    </w:p>
    <w:bookmarkEnd w:id="33"/>
    <w:bookmarkStart w:id="34" w:name="Xda6f178de632779b007ca26fa4959a763d2c7f4"/>
    <w:p>
      <w:pPr>
        <w:pStyle w:val="Heading2"/>
      </w:pPr>
      <w:r>
        <w:t xml:space="preserve">Dangers et/ou mesures par voie d’exposition</w:t>
      </w:r>
    </w:p>
    <w:p>
      <w:pPr>
        <w:pStyle w:val="FirstParagraph"/>
      </w:pPr>
      <w:r>
        <w:t xml:space="preserve">skin : Enlever immédiatement les vêtements contaminés.</w:t>
      </w:r>
      <w:r>
        <w:t xml:space="preserve"> </w:t>
      </w:r>
      <w:r>
        <w:t xml:space="preserve">Laver abondamment la zone touchée avec de l’eau et, si possible, du savon.</w:t>
      </w:r>
      <w:r>
        <w:t xml:space="preserve"> </w:t>
      </w:r>
      <w:r>
        <w:t xml:space="preserve">Laver entièrement le corps (douche ou bain).</w:t>
      </w:r>
    </w:p>
    <w:p>
      <w:pPr>
        <w:pStyle w:val="BodyText"/>
      </w:pPr>
      <w:r>
        <w:t xml:space="preserve">eyes : Rincer les yeux à l’eau pendant un intervalle de temps adéquat en maintenant les paupières ouvertes.</w:t>
      </w:r>
      <w:r>
        <w:t xml:space="preserve"> </w:t>
      </w:r>
      <w:r>
        <w:t xml:space="preserve">Enlever les lentilles de contact si la victime en porte et si elles peuvent être retirées facilement.</w:t>
      </w:r>
      <w:r>
        <w:t xml:space="preserve"> </w:t>
      </w:r>
      <w:r>
        <w:t xml:space="preserve">Continuer à rincer.</w:t>
      </w:r>
      <w:r>
        <w:t xml:space="preserve"> </w:t>
      </w:r>
      <w:r>
        <w:t xml:space="preserve">Consulter immédiatement un ophtalmologue.</w:t>
      </w:r>
    </w:p>
    <w:p>
      <w:pPr>
        <w:pStyle w:val="BodyText"/>
      </w:pPr>
      <w:r>
        <w:t xml:space="preserve">ingestion : Ne pas faire vomir.</w:t>
      </w:r>
      <w:r>
        <w:t xml:space="preserve"> </w:t>
      </w:r>
      <w:r>
        <w:t xml:space="preserve">Consulter immédiatement un médecin.</w:t>
      </w:r>
    </w:p>
    <w:p>
      <w:pPr>
        <w:pStyle w:val="BodyText"/>
      </w:pPr>
      <w:r>
        <w:t xml:space="preserve">inhalation : Transporter la victime à l’extérieur.</w:t>
      </w:r>
      <w:r>
        <w:t xml:space="preserve"> </w:t>
      </w:r>
      <w:r>
        <w:t xml:space="preserve">Maintenir la victime au chaud et au repos.</w:t>
      </w:r>
    </w:p>
    <w:p>
      <w:r>
        <w:br w:type="page"/>
      </w:r>
    </w:p>
    <w:bookmarkEnd w:id="34"/>
    <w:bookmarkStart w:id="76" w:name="Xd3fd47f9279b52cc9d4b00e07bdfde0bea6594f"/>
    <w:p>
      <w:pPr>
        <w:pStyle w:val="Heading2"/>
      </w:pPr>
      <w:r>
        <w:t xml:space="preserve">Informations relatives aux substances dangereuses présentes</w:t>
      </w:r>
    </w:p>
    <w:bookmarkStart w:id="36" w:name="alcools-c11-13-"/>
    <w:p>
      <w:pPr>
        <w:pStyle w:val="Heading3"/>
      </w:pPr>
      <w:r>
        <w:t xml:space="preserve">Alcools, C11-13-</w:t>
      </w:r>
    </w:p>
    <w:p>
      <w:pPr>
        <w:pStyle w:val="FirstParagraph"/>
      </w:pPr>
      <w:r>
        <w:rPr>
          <w:b/>
          <w:bCs/>
        </w:rPr>
        <w:t xml:space="preserve">Identification</w:t>
      </w:r>
    </w:p>
    <w:p>
      <w:pPr>
        <w:pStyle w:val="Compact"/>
        <w:numPr>
          <w:ilvl w:val="0"/>
          <w:numId w:val="1007"/>
        </w:numPr>
      </w:pPr>
      <w:r>
        <w:t xml:space="preserve">N° CAS : 68439-54-3</w:t>
      </w:r>
    </w:p>
    <w:p>
      <w:pPr>
        <w:pStyle w:val="Compact"/>
        <w:numPr>
          <w:ilvl w:val="0"/>
          <w:numId w:val="1007"/>
        </w:numPr>
      </w:pPr>
      <w:r>
        <w:t xml:space="preserve">N° EINECS : None</w:t>
      </w:r>
    </w:p>
    <w:p>
      <w:pPr>
        <w:pStyle w:val="FirstParagraph"/>
      </w:pPr>
      <w:r>
        <w:rPr>
          <w:b/>
          <w:bCs/>
        </w:rPr>
        <w:t xml:space="preserve">Concentration</w:t>
      </w:r>
      <w:r>
        <w:t xml:space="preserve"> </w:t>
      </w:r>
      <w:r>
        <w:t xml:space="preserve">:greater or equal to 2.5</w:t>
      </w:r>
    </w:p>
    <w:p>
      <w:pPr>
        <w:pStyle w:val="BodyText"/>
      </w:pPr>
      <w:r>
        <w:rPr>
          <w:b/>
          <w:bCs/>
        </w:rPr>
        <w:t xml:space="preserve">Dangers</w:t>
      </w:r>
      <w:r>
        <w:t xml:space="preserve"> </w:t>
      </w:r>
      <w:r>
        <w:t xml:space="preserve">:</w:t>
      </w:r>
    </w:p>
    <w:p>
      <w:pPr>
        <w:pStyle w:val="Compact"/>
        <w:numPr>
          <w:ilvl w:val="0"/>
          <w:numId w:val="1008"/>
        </w:numPr>
      </w:pPr>
      <w:r>
        <w:t xml:space="preserve">H302</w:t>
      </w:r>
      <w:r>
        <w:t xml:space="preserve"> </w:t>
      </w:r>
      <w:r>
        <w:t xml:space="preserve">Nocif en cas d’ingestion.</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5" w:name="propriétés"/>
    <w:p>
      <w:pPr>
        <w:pStyle w:val="Heading4"/>
      </w:pPr>
      <w:r>
        <w:t xml:space="preserve">Propriétés</w:t>
      </w:r>
    </w:p>
    <w:p>
      <w:pPr>
        <w:pStyle w:val="FirstParagraph"/>
      </w:pPr>
      <w:r>
        <w:t xml:space="preserve">Pas d’informations disponible.</w:t>
      </w:r>
    </w:p>
    <w:bookmarkEnd w:id="35"/>
    <w:bookmarkEnd w:id="36"/>
    <w:bookmarkStart w:id="38" w:name="ramifiés-éthoxylés-7"/>
    <w:p>
      <w:pPr>
        <w:pStyle w:val="Heading3"/>
      </w:pPr>
      <w:r>
        <w:t xml:space="preserve">Ramifiés, éthoxylés (&gt;7</w:t>
      </w:r>
    </w:p>
    <w:p>
      <w:pPr>
        <w:pStyle w:val="FirstParagraph"/>
      </w:pPr>
      <w:r>
        <w:rPr>
          <w:b/>
          <w:bCs/>
        </w:rPr>
        <w:t xml:space="preserve">Identification</w:t>
      </w:r>
    </w:p>
    <w:p>
      <w:pPr>
        <w:pStyle w:val="Compact"/>
        <w:numPr>
          <w:ilvl w:val="0"/>
          <w:numId w:val="1009"/>
        </w:numPr>
      </w:pPr>
      <w:r>
        <w:t xml:space="preserve">N° CAS : None</w:t>
      </w:r>
    </w:p>
    <w:p>
      <w:pPr>
        <w:pStyle w:val="Compact"/>
        <w:numPr>
          <w:ilvl w:val="0"/>
          <w:numId w:val="1009"/>
        </w:numPr>
      </w:pPr>
      <w:r>
        <w:t xml:space="preserve">N° EINECS : 931-985-3</w:t>
      </w:r>
    </w:p>
    <w:p>
      <w:pPr>
        <w:pStyle w:val="FirstParagraph"/>
      </w:pPr>
      <w:r>
        <w:rPr>
          <w:b/>
          <w:bCs/>
        </w:rPr>
        <w:t xml:space="preserve">Concentration</w:t>
      </w:r>
      <w:r>
        <w:t xml:space="preserve"> </w:t>
      </w:r>
      <w:r>
        <w:t xml:space="preserve">:less or equal to 5.0</w:t>
      </w:r>
    </w:p>
    <w:p>
      <w:pPr>
        <w:pStyle w:val="BodyText"/>
      </w:pPr>
      <w:r>
        <w:rPr>
          <w:b/>
          <w:bCs/>
        </w:rPr>
        <w:t xml:space="preserve">Dangers</w:t>
      </w:r>
      <w:r>
        <w:t xml:space="preserve"> </w:t>
      </w:r>
      <w:r>
        <w:t xml:space="preserve">:</w:t>
      </w:r>
    </w:p>
    <w:p>
      <w:pPr>
        <w:pStyle w:val="Compact"/>
        <w:numPr>
          <w:ilvl w:val="0"/>
          <w:numId w:val="1010"/>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7" w:name="propriétés-1"/>
    <w:p>
      <w:pPr>
        <w:pStyle w:val="Heading4"/>
      </w:pPr>
      <w:r>
        <w:t xml:space="preserve">Propriétés</w:t>
      </w:r>
    </w:p>
    <w:p>
      <w:pPr>
        <w:pStyle w:val="FirstParagraph"/>
      </w:pPr>
      <w:r>
        <w:t xml:space="preserve">Pas d’informations disponible.</w:t>
      </w:r>
    </w:p>
    <w:bookmarkEnd w:id="37"/>
    <w:bookmarkEnd w:id="38"/>
    <w:bookmarkStart w:id="40" w:name="propane-2-ol"/>
    <w:p>
      <w:pPr>
        <w:pStyle w:val="Heading3"/>
      </w:pPr>
      <w:r>
        <w:t xml:space="preserve">Propane-2-ol</w:t>
      </w:r>
    </w:p>
    <w:p>
      <w:pPr>
        <w:pStyle w:val="FirstParagraph"/>
      </w:pPr>
      <w:r>
        <w:rPr>
          <w:b/>
          <w:bCs/>
        </w:rPr>
        <w:t xml:space="preserve">Identification</w:t>
      </w:r>
    </w:p>
    <w:p>
      <w:pPr>
        <w:pStyle w:val="Compact"/>
        <w:numPr>
          <w:ilvl w:val="0"/>
          <w:numId w:val="1011"/>
        </w:numPr>
      </w:pPr>
      <w:r>
        <w:t xml:space="preserve">N° CAS : None</w:t>
      </w:r>
    </w:p>
    <w:p>
      <w:pPr>
        <w:pStyle w:val="Compact"/>
        <w:numPr>
          <w:ilvl w:val="0"/>
          <w:numId w:val="1011"/>
        </w:numPr>
      </w:pPr>
      <w:r>
        <w:t xml:space="preserve">N° EINECS : None</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numPr>
          <w:ilvl w:val="0"/>
          <w:numId w:val="1012"/>
        </w:numPr>
      </w:pPr>
      <w:r>
        <w:t xml:space="preserve">H225</w:t>
      </w:r>
      <w:r>
        <w:t xml:space="preserve"> </w:t>
      </w:r>
      <w:r>
        <w:t xml:space="preserve">Liquide et vapeurs très inflammables.</w:t>
      </w:r>
    </w:p>
    <w:p>
      <w:pPr>
        <w:numPr>
          <w:ilvl w:val="0"/>
          <w:numId w:val="1012"/>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9" w:name="propriétés-2"/>
    <w:p>
      <w:pPr>
        <w:pStyle w:val="Heading4"/>
      </w:pPr>
      <w:r>
        <w:t xml:space="preserve">Propriétés</w:t>
      </w:r>
    </w:p>
    <w:p>
      <w:pPr>
        <w:pStyle w:val="FirstParagraph"/>
      </w:pPr>
      <w:r>
        <w:t xml:space="preserve">Pas d’informations disponible.</w:t>
      </w:r>
    </w:p>
    <w:bookmarkEnd w:id="39"/>
    <w:bookmarkEnd w:id="40"/>
    <w:bookmarkStart w:id="51" w:name="isopropanol"/>
    <w:p>
      <w:pPr>
        <w:pStyle w:val="Heading3"/>
      </w:pPr>
      <w:r>
        <w:t xml:space="preserve">Isopropanol</w:t>
      </w:r>
    </w:p>
    <w:p>
      <w:pPr>
        <w:pStyle w:val="FirstParagraph"/>
      </w:pPr>
      <w:r>
        <w:rPr>
          <w:b/>
          <w:bCs/>
        </w:rPr>
        <w:t xml:space="preserve">Identification</w:t>
      </w:r>
    </w:p>
    <w:p>
      <w:pPr>
        <w:pStyle w:val="Compact"/>
        <w:numPr>
          <w:ilvl w:val="0"/>
          <w:numId w:val="1013"/>
        </w:numPr>
      </w:pPr>
      <w:r>
        <w:t xml:space="preserve">N° CAS : 67-63-0</w:t>
      </w:r>
    </w:p>
    <w:p>
      <w:pPr>
        <w:pStyle w:val="Compact"/>
        <w:numPr>
          <w:ilvl w:val="0"/>
          <w:numId w:val="1013"/>
        </w:numPr>
      </w:pPr>
      <w:r>
        <w:t xml:space="preserve">N° EINECS : 200-661-7</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numPr>
          <w:ilvl w:val="0"/>
          <w:numId w:val="1014"/>
        </w:numPr>
      </w:pPr>
      <w:r>
        <w:t xml:space="preserve">H336</w:t>
      </w:r>
      <w:r>
        <w:t xml:space="preserve"> </w:t>
      </w:r>
      <w:r>
        <w:t xml:space="preserve">Peut provoquer somnolence ou vertiges.</w:t>
      </w:r>
    </w:p>
    <w:p>
      <w:pPr>
        <w:numPr>
          <w:ilvl w:val="0"/>
          <w:numId w:val="1014"/>
        </w:numPr>
      </w:pPr>
      <w:r>
        <w:t xml:space="preserve">H225</w:t>
      </w:r>
      <w:r>
        <w:t xml:space="preserve"> </w:t>
      </w:r>
      <w:r>
        <w:t xml:space="preserve">Liquide et vapeurs très inflammables.</w:t>
      </w:r>
    </w:p>
    <w:p>
      <w:pPr>
        <w:numPr>
          <w:ilvl w:val="0"/>
          <w:numId w:val="1014"/>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200.0 - VLE-8h (mg/m³) : 500.0 - VLE-15min (ppm) : 400.0 - VLE-15min (mg/m³) : 1000.0</w:t>
            </w:r>
          </w:p>
        </w:tc>
      </w:tr>
    </w:tbl>
    <w:bookmarkStart w:id="50" w:name="propriétés-3"/>
    <w:p>
      <w:pPr>
        <w:pStyle w:val="Heading4"/>
      </w:pPr>
      <w:r>
        <w:t xml:space="preserve">Propriétés</w:t>
      </w:r>
    </w:p>
    <w:p>
      <w:pPr>
        <w:pStyle w:val="FirstParagraph"/>
      </w:pPr>
      <w:hyperlink r:id="rId41">
        <w:r>
          <w:rPr>
            <w:rStyle w:val="Hyperlink"/>
            <w:color w:val="0856A0"/>
            <w:u w:val="single"/>
          </w:rPr>
          <w:t xml:space="preserve">Fiche n°66 - Propan-2-ol</w:t>
        </w:r>
      </w:hyperlink>
    </w:p>
    <w:p>
      <w:pPr>
        <w:numPr>
          <w:ilvl w:val="0"/>
          <w:numId w:val="1015"/>
        </w:numPr>
      </w:pPr>
      <w:hyperlink r:id="rId42">
        <w:r>
          <w:rPr>
            <w:rStyle w:val="Hyperlink"/>
            <w:color w:val="0856A0"/>
            <w:u w:val="single"/>
          </w:rPr>
          <w:t xml:space="preserve">Généralités</w:t>
        </w:r>
      </w:hyperlink>
    </w:p>
    <w:p>
      <w:pPr>
        <w:numPr>
          <w:ilvl w:val="0"/>
          <w:numId w:val="1015"/>
        </w:numPr>
      </w:pPr>
      <w:hyperlink r:id="rId43">
        <w:r>
          <w:rPr>
            <w:rStyle w:val="Hyperlink"/>
            <w:color w:val="0856A0"/>
            <w:u w:val="single"/>
          </w:rPr>
          <w:t xml:space="preserve">Caractéristiques</w:t>
        </w:r>
      </w:hyperlink>
    </w:p>
    <w:p>
      <w:pPr>
        <w:numPr>
          <w:ilvl w:val="0"/>
          <w:numId w:val="1015"/>
        </w:numPr>
      </w:pPr>
      <w:hyperlink r:id="rId44">
        <w:r>
          <w:rPr>
            <w:rStyle w:val="Hyperlink"/>
            <w:color w:val="0856A0"/>
            <w:u w:val="single"/>
          </w:rPr>
          <w:t xml:space="preserve">VLEPMesurage</w:t>
        </w:r>
      </w:hyperlink>
    </w:p>
    <w:p>
      <w:pPr>
        <w:numPr>
          <w:ilvl w:val="0"/>
          <w:numId w:val="1015"/>
        </w:numPr>
      </w:pPr>
      <w:hyperlink r:id="rId45">
        <w:r>
          <w:rPr>
            <w:rStyle w:val="Hyperlink"/>
            <w:color w:val="0856A0"/>
            <w:u w:val="single"/>
          </w:rPr>
          <w:t xml:space="preserve">Incendie - Explosion[16-18]</w:t>
        </w:r>
      </w:hyperlink>
    </w:p>
    <w:p>
      <w:pPr>
        <w:numPr>
          <w:ilvl w:val="0"/>
          <w:numId w:val="1015"/>
        </w:numPr>
      </w:pPr>
      <w:hyperlink r:id="rId46">
        <w:r>
          <w:rPr>
            <w:rStyle w:val="Hyperlink"/>
            <w:color w:val="0856A0"/>
            <w:u w:val="single"/>
          </w:rPr>
          <w:t xml:space="preserve">Pathologie - Toxicologie</w:t>
        </w:r>
      </w:hyperlink>
    </w:p>
    <w:p>
      <w:pPr>
        <w:numPr>
          <w:ilvl w:val="0"/>
          <w:numId w:val="1015"/>
        </w:numPr>
      </w:pPr>
      <w:hyperlink r:id="rId47">
        <w:r>
          <w:rPr>
            <w:rStyle w:val="Hyperlink"/>
            <w:color w:val="0856A0"/>
            <w:u w:val="single"/>
          </w:rPr>
          <w:t xml:space="preserve">Règlementation</w:t>
        </w:r>
      </w:hyperlink>
    </w:p>
    <w:p>
      <w:pPr>
        <w:numPr>
          <w:ilvl w:val="0"/>
          <w:numId w:val="1015"/>
        </w:numPr>
      </w:pPr>
      <w:hyperlink r:id="rId48">
        <w:r>
          <w:rPr>
            <w:rStyle w:val="Hyperlink"/>
            <w:color w:val="0856A0"/>
            <w:u w:val="single"/>
          </w:rPr>
          <w:t xml:space="preserve">Recommandations</w:t>
        </w:r>
      </w:hyperlink>
    </w:p>
    <w:p>
      <w:pPr>
        <w:numPr>
          <w:ilvl w:val="0"/>
          <w:numId w:val="1015"/>
        </w:numPr>
      </w:pPr>
      <w:hyperlink r:id="rId49">
        <w:r>
          <w:rPr>
            <w:rStyle w:val="Hyperlink"/>
            <w:color w:val="0856A0"/>
            <w:u w:val="single"/>
          </w:rPr>
          <w:t xml:space="preserve">Bibliographie</w:t>
        </w:r>
      </w:hyperlink>
    </w:p>
    <w:bookmarkEnd w:id="50"/>
    <w:bookmarkEnd w:id="51"/>
    <w:bookmarkStart w:id="62" w:name="méthoxyéthoxy-propanol"/>
    <w:p>
      <w:pPr>
        <w:pStyle w:val="Heading3"/>
      </w:pPr>
      <w:r>
        <w:t xml:space="preserve">(2-méthoxyéthoxy) propanol</w:t>
      </w:r>
    </w:p>
    <w:p>
      <w:pPr>
        <w:pStyle w:val="FirstParagraph"/>
      </w:pPr>
      <w:r>
        <w:rPr>
          <w:b/>
          <w:bCs/>
        </w:rPr>
        <w:t xml:space="preserve">Identification</w:t>
      </w:r>
    </w:p>
    <w:p>
      <w:pPr>
        <w:pStyle w:val="Compact"/>
        <w:numPr>
          <w:ilvl w:val="0"/>
          <w:numId w:val="1016"/>
        </w:numPr>
      </w:pPr>
      <w:r>
        <w:t xml:space="preserve">N° CAS : 34590-94-8</w:t>
      </w:r>
    </w:p>
    <w:p>
      <w:pPr>
        <w:pStyle w:val="Compact"/>
        <w:numPr>
          <w:ilvl w:val="0"/>
          <w:numId w:val="1016"/>
        </w:numPr>
      </w:pPr>
      <w:r>
        <w:t xml:space="preserve">N° EINECS : 252-104-2</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pStyle w:val="BodyText"/>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50.0 - VLE-8h (mg/m³) : None</w:t>
            </w:r>
          </w:p>
        </w:tc>
      </w:tr>
    </w:tbl>
    <w:bookmarkStart w:id="61" w:name="propriétés-4"/>
    <w:p>
      <w:pPr>
        <w:pStyle w:val="Heading4"/>
      </w:pPr>
      <w:r>
        <w:t xml:space="preserve">Propriétés</w:t>
      </w:r>
    </w:p>
    <w:p>
      <w:pPr>
        <w:pStyle w:val="FirstParagraph"/>
      </w:pPr>
      <w:hyperlink r:id="rId52">
        <w:r>
          <w:rPr>
            <w:rStyle w:val="Hyperlink"/>
            <w:color w:val="0856A0"/>
            <w:u w:val="single"/>
          </w:rPr>
          <w:t xml:space="preserve">Fiche n°330 - (2-Méthoxyméthyléthoxy)propanol</w:t>
        </w:r>
      </w:hyperlink>
    </w:p>
    <w:p>
      <w:pPr>
        <w:numPr>
          <w:ilvl w:val="0"/>
          <w:numId w:val="1017"/>
        </w:numPr>
      </w:pPr>
      <w:hyperlink r:id="rId53">
        <w:r>
          <w:rPr>
            <w:rStyle w:val="Hyperlink"/>
            <w:color w:val="0856A0"/>
            <w:u w:val="single"/>
          </w:rPr>
          <w:t xml:space="preserve">Généralités</w:t>
        </w:r>
      </w:hyperlink>
    </w:p>
    <w:p>
      <w:pPr>
        <w:numPr>
          <w:ilvl w:val="0"/>
          <w:numId w:val="1017"/>
        </w:numPr>
      </w:pPr>
      <w:hyperlink r:id="rId54">
        <w:r>
          <w:rPr>
            <w:rStyle w:val="Hyperlink"/>
            <w:color w:val="0856A0"/>
            <w:u w:val="single"/>
          </w:rPr>
          <w:t xml:space="preserve">Caractéristiques</w:t>
        </w:r>
      </w:hyperlink>
    </w:p>
    <w:p>
      <w:pPr>
        <w:numPr>
          <w:ilvl w:val="0"/>
          <w:numId w:val="1017"/>
        </w:numPr>
      </w:pPr>
      <w:hyperlink r:id="rId55">
        <w:r>
          <w:rPr>
            <w:rStyle w:val="Hyperlink"/>
            <w:color w:val="0856A0"/>
            <w:u w:val="single"/>
          </w:rPr>
          <w:t xml:space="preserve">VLEPMesurage</w:t>
        </w:r>
      </w:hyperlink>
    </w:p>
    <w:p>
      <w:pPr>
        <w:numPr>
          <w:ilvl w:val="0"/>
          <w:numId w:val="1017"/>
        </w:numPr>
      </w:pPr>
      <w:hyperlink r:id="rId56">
        <w:r>
          <w:rPr>
            <w:rStyle w:val="Hyperlink"/>
            <w:color w:val="0856A0"/>
            <w:u w:val="single"/>
          </w:rPr>
          <w:t xml:space="preserve">Incendie - Explosion[3, 10-12]</w:t>
        </w:r>
      </w:hyperlink>
    </w:p>
    <w:p>
      <w:pPr>
        <w:numPr>
          <w:ilvl w:val="0"/>
          <w:numId w:val="1017"/>
        </w:numPr>
      </w:pPr>
      <w:hyperlink r:id="rId57">
        <w:r>
          <w:rPr>
            <w:rStyle w:val="Hyperlink"/>
            <w:color w:val="0856A0"/>
            <w:u w:val="single"/>
          </w:rPr>
          <w:t xml:space="preserve">Pathologie - Toxicologie</w:t>
        </w:r>
      </w:hyperlink>
    </w:p>
    <w:p>
      <w:pPr>
        <w:numPr>
          <w:ilvl w:val="0"/>
          <w:numId w:val="1017"/>
        </w:numPr>
      </w:pPr>
      <w:hyperlink r:id="rId58">
        <w:r>
          <w:rPr>
            <w:rStyle w:val="Hyperlink"/>
            <w:color w:val="0856A0"/>
            <w:u w:val="single"/>
          </w:rPr>
          <w:t xml:space="preserve">Règlementation</w:t>
        </w:r>
      </w:hyperlink>
    </w:p>
    <w:p>
      <w:pPr>
        <w:numPr>
          <w:ilvl w:val="0"/>
          <w:numId w:val="1017"/>
        </w:numPr>
      </w:pPr>
      <w:hyperlink r:id="rId59">
        <w:r>
          <w:rPr>
            <w:rStyle w:val="Hyperlink"/>
            <w:color w:val="0856A0"/>
            <w:u w:val="single"/>
          </w:rPr>
          <w:t xml:space="preserve">Recommandations</w:t>
        </w:r>
      </w:hyperlink>
    </w:p>
    <w:p>
      <w:pPr>
        <w:numPr>
          <w:ilvl w:val="0"/>
          <w:numId w:val="1017"/>
        </w:numPr>
      </w:pPr>
      <w:hyperlink r:id="rId60">
        <w:r>
          <w:rPr>
            <w:rStyle w:val="Hyperlink"/>
            <w:color w:val="0856A0"/>
            <w:u w:val="single"/>
          </w:rPr>
          <w:t xml:space="preserve">Bibliographie</w:t>
        </w:r>
      </w:hyperlink>
    </w:p>
    <w:bookmarkEnd w:id="61"/>
    <w:bookmarkEnd w:id="62"/>
    <w:bookmarkStart w:id="64" w:name="chloro-2-méthyl-2h-isothiazoline-3-one"/>
    <w:p>
      <w:pPr>
        <w:pStyle w:val="Heading3"/>
      </w:pPr>
      <w:r>
        <w:t xml:space="preserve">5-chloro-2-méthyl-2H-isothiazoline-3-one</w:t>
      </w:r>
    </w:p>
    <w:p>
      <w:pPr>
        <w:pStyle w:val="FirstParagraph"/>
      </w:pPr>
      <w:r>
        <w:rPr>
          <w:b/>
          <w:bCs/>
        </w:rPr>
        <w:t xml:space="preserve">Identification</w:t>
      </w:r>
    </w:p>
    <w:p>
      <w:pPr>
        <w:pStyle w:val="Compact"/>
        <w:numPr>
          <w:ilvl w:val="0"/>
          <w:numId w:val="1018"/>
        </w:numPr>
      </w:pPr>
      <w:r>
        <w:t xml:space="preserve">N° CAS : None</w:t>
      </w:r>
    </w:p>
    <w:p>
      <w:pPr>
        <w:pStyle w:val="Compact"/>
        <w:numPr>
          <w:ilvl w:val="0"/>
          <w:numId w:val="1018"/>
        </w:numPr>
      </w:pPr>
      <w:r>
        <w:t xml:space="preserve">N° EINECS : None</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pStyle w:val="Compact"/>
        <w:numPr>
          <w:ilvl w:val="0"/>
          <w:numId w:val="1019"/>
        </w:numPr>
      </w:pPr>
      <w:r>
        <w:t xml:space="preserve">H310</w:t>
      </w:r>
      <w:r>
        <w:t xml:space="preserve"> </w:t>
      </w:r>
      <w:r>
        <w:t xml:space="preserve">Mortel par contact cutané.</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63" w:name="propriétés-5"/>
    <w:p>
      <w:pPr>
        <w:pStyle w:val="Heading4"/>
      </w:pPr>
      <w:r>
        <w:t xml:space="preserve">Propriétés</w:t>
      </w:r>
    </w:p>
    <w:p>
      <w:pPr>
        <w:pStyle w:val="FirstParagraph"/>
      </w:pPr>
      <w:r>
        <w:t xml:space="preserve">Pas d’informations disponible.</w:t>
      </w:r>
    </w:p>
    <w:bookmarkEnd w:id="63"/>
    <w:bookmarkEnd w:id="64"/>
    <w:bookmarkStart w:id="75" w:name="méthyl-2h-isothiazol-3-one"/>
    <w:p>
      <w:pPr>
        <w:pStyle w:val="Heading3"/>
      </w:pPr>
      <w:r>
        <w:t xml:space="preserve">2-méthyl-2H-isothiazol-3-one</w:t>
      </w:r>
    </w:p>
    <w:p>
      <w:pPr>
        <w:pStyle w:val="FirstParagraph"/>
      </w:pPr>
      <w:r>
        <w:rPr>
          <w:b/>
          <w:bCs/>
        </w:rPr>
        <w:t xml:space="preserve">Identification</w:t>
      </w:r>
    </w:p>
    <w:p>
      <w:pPr>
        <w:pStyle w:val="Compact"/>
        <w:numPr>
          <w:ilvl w:val="0"/>
          <w:numId w:val="1020"/>
        </w:numPr>
      </w:pPr>
      <w:r>
        <w:t xml:space="preserve">N° CAS : 55965-84-9</w:t>
      </w:r>
    </w:p>
    <w:p>
      <w:pPr>
        <w:pStyle w:val="Compact"/>
        <w:numPr>
          <w:ilvl w:val="0"/>
          <w:numId w:val="1020"/>
        </w:numPr>
      </w:pPr>
      <w:r>
        <w:t xml:space="preserve">N° EINECS : None</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numPr>
          <w:ilvl w:val="0"/>
          <w:numId w:val="1021"/>
        </w:numPr>
      </w:pPr>
      <w:r>
        <w:t xml:space="preserve">H301</w:t>
      </w:r>
      <w:r>
        <w:t xml:space="preserve"> </w:t>
      </w:r>
      <w:r>
        <w:t xml:space="preserve">Toxique en cas d’ingestion.</w:t>
      </w:r>
    </w:p>
    <w:p>
      <w:pPr>
        <w:numPr>
          <w:ilvl w:val="0"/>
          <w:numId w:val="1021"/>
        </w:numPr>
      </w:pPr>
      <w:r>
        <w:t xml:space="preserve">H310</w:t>
      </w:r>
      <w:r>
        <w:t xml:space="preserve"> </w:t>
      </w:r>
      <w:r>
        <w:t xml:space="preserve">Mortel par contact cutané.</w:t>
      </w:r>
    </w:p>
    <w:p>
      <w:pPr>
        <w:numPr>
          <w:ilvl w:val="0"/>
          <w:numId w:val="1021"/>
        </w:numPr>
      </w:pPr>
      <w:r>
        <w:t xml:space="preserve">H314</w:t>
      </w:r>
      <w:r>
        <w:t xml:space="preserve"> </w:t>
      </w:r>
      <w:r>
        <w:t xml:space="preserve">Provoque des brûlures de la peau et des lésions oculaires graves.</w:t>
      </w:r>
    </w:p>
    <w:p>
      <w:pPr>
        <w:numPr>
          <w:ilvl w:val="0"/>
          <w:numId w:val="1021"/>
        </w:numPr>
      </w:pPr>
      <w:r>
        <w:t xml:space="preserve">H317</w:t>
      </w:r>
      <w:r>
        <w:t xml:space="preserve"> </w:t>
      </w:r>
      <w:r>
        <w:t xml:space="preserve">Peut provoquer une allergie cutanée.</w:t>
      </w:r>
    </w:p>
    <w:p>
      <w:pPr>
        <w:numPr>
          <w:ilvl w:val="0"/>
          <w:numId w:val="1021"/>
        </w:numPr>
      </w:pPr>
      <w:r>
        <w:t xml:space="preserve">H330</w:t>
      </w:r>
      <w:r>
        <w:t xml:space="preserve"> </w:t>
      </w:r>
      <w:r>
        <w:t xml:space="preserve">Fatal if inhaled.</w:t>
      </w:r>
    </w:p>
    <w:p>
      <w:pPr>
        <w:numPr>
          <w:ilvl w:val="0"/>
          <w:numId w:val="1021"/>
        </w:numPr>
      </w:pPr>
      <w:r>
        <w:t xml:space="preserve">H400</w:t>
      </w:r>
      <w:r>
        <w:t xml:space="preserve"> </w:t>
      </w:r>
      <w:r>
        <w:t xml:space="preserve">Très toxique pour les organismes aquatiques.</w:t>
      </w:r>
    </w:p>
    <w:p>
      <w:pPr>
        <w:numPr>
          <w:ilvl w:val="0"/>
          <w:numId w:val="1021"/>
        </w:numPr>
      </w:pPr>
      <w:r>
        <w:t xml:space="preserve">H410</w:t>
      </w:r>
      <w:r>
        <w:t xml:space="preserve"> </w:t>
      </w:r>
      <w:r>
        <w:t xml:space="preserve">Très toxique pour les organismes aquatiques, entraîne des effets néfastes à long terme.</w:t>
      </w:r>
    </w:p>
    <w:p>
      <w:pPr>
        <w:numPr>
          <w:ilvl w:val="0"/>
          <w:numId w:val="1021"/>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74" w:name="propriétés-6"/>
    <w:p>
      <w:pPr>
        <w:pStyle w:val="Heading4"/>
      </w:pPr>
      <w:r>
        <w:t xml:space="preserve">Propriétés</w:t>
      </w:r>
    </w:p>
    <w:p>
      <w:pPr>
        <w:pStyle w:val="FirstParagraph"/>
      </w:pPr>
      <w:hyperlink r:id="rId65">
        <w:r>
          <w:rPr>
            <w:rStyle w:val="Hyperlink"/>
            <w:color w:val="0856A0"/>
            <w:u w:val="single"/>
          </w:rPr>
          <w:t xml:space="preserve">Fiche n°290 - CMIT / MIT</w:t>
        </w:r>
      </w:hyperlink>
    </w:p>
    <w:p>
      <w:pPr>
        <w:numPr>
          <w:ilvl w:val="0"/>
          <w:numId w:val="1022"/>
        </w:numPr>
      </w:pPr>
      <w:hyperlink r:id="rId66">
        <w:r>
          <w:rPr>
            <w:rStyle w:val="Hyperlink"/>
            <w:color w:val="0856A0"/>
            <w:u w:val="single"/>
          </w:rPr>
          <w:t xml:space="preserve">Généralités</w:t>
        </w:r>
      </w:hyperlink>
    </w:p>
    <w:p>
      <w:pPr>
        <w:numPr>
          <w:ilvl w:val="0"/>
          <w:numId w:val="1022"/>
        </w:numPr>
      </w:pPr>
      <w:hyperlink r:id="rId67">
        <w:r>
          <w:rPr>
            <w:rStyle w:val="Hyperlink"/>
            <w:color w:val="0856A0"/>
            <w:u w:val="single"/>
          </w:rPr>
          <w:t xml:space="preserve">Caractéristiques</w:t>
        </w:r>
      </w:hyperlink>
    </w:p>
    <w:p>
      <w:pPr>
        <w:numPr>
          <w:ilvl w:val="0"/>
          <w:numId w:val="1022"/>
        </w:numPr>
      </w:pPr>
      <w:hyperlink r:id="rId68">
        <w:r>
          <w:rPr>
            <w:rStyle w:val="Hyperlink"/>
            <w:color w:val="0856A0"/>
            <w:u w:val="single"/>
          </w:rPr>
          <w:t xml:space="preserve">VLEPMesurage</w:t>
        </w:r>
      </w:hyperlink>
    </w:p>
    <w:p>
      <w:pPr>
        <w:numPr>
          <w:ilvl w:val="0"/>
          <w:numId w:val="1022"/>
        </w:numPr>
      </w:pPr>
      <w:hyperlink r:id="rId69">
        <w:r>
          <w:rPr>
            <w:rStyle w:val="Hyperlink"/>
            <w:color w:val="0856A0"/>
            <w:u w:val="single"/>
          </w:rPr>
          <w:t xml:space="preserve">Incendie - Explosion[3, 5]</w:t>
        </w:r>
      </w:hyperlink>
    </w:p>
    <w:p>
      <w:pPr>
        <w:numPr>
          <w:ilvl w:val="0"/>
          <w:numId w:val="1022"/>
        </w:numPr>
      </w:pPr>
      <w:hyperlink r:id="rId70">
        <w:r>
          <w:rPr>
            <w:rStyle w:val="Hyperlink"/>
            <w:color w:val="0856A0"/>
            <w:u w:val="single"/>
          </w:rPr>
          <w:t xml:space="preserve">Pathologie - Toxicologie</w:t>
        </w:r>
      </w:hyperlink>
    </w:p>
    <w:p>
      <w:pPr>
        <w:numPr>
          <w:ilvl w:val="0"/>
          <w:numId w:val="1022"/>
        </w:numPr>
      </w:pPr>
      <w:hyperlink r:id="rId71">
        <w:r>
          <w:rPr>
            <w:rStyle w:val="Hyperlink"/>
            <w:color w:val="0856A0"/>
            <w:u w:val="single"/>
          </w:rPr>
          <w:t xml:space="preserve">Règlementation</w:t>
        </w:r>
      </w:hyperlink>
    </w:p>
    <w:p>
      <w:pPr>
        <w:numPr>
          <w:ilvl w:val="0"/>
          <w:numId w:val="1022"/>
        </w:numPr>
      </w:pPr>
      <w:hyperlink r:id="rId72">
        <w:r>
          <w:rPr>
            <w:rStyle w:val="Hyperlink"/>
            <w:color w:val="0856A0"/>
            <w:u w:val="single"/>
          </w:rPr>
          <w:t xml:space="preserve">Recommandations</w:t>
        </w:r>
      </w:hyperlink>
    </w:p>
    <w:p>
      <w:pPr>
        <w:numPr>
          <w:ilvl w:val="0"/>
          <w:numId w:val="1022"/>
        </w:numPr>
      </w:pPr>
      <w:hyperlink r:id="rId73">
        <w:r>
          <w:rPr>
            <w:rStyle w:val="Hyperlink"/>
            <w:color w:val="0856A0"/>
            <w:u w:val="single"/>
          </w:rPr>
          <w:t xml:space="preserve">Bibliographie</w:t>
        </w:r>
      </w:hyperlink>
    </w:p>
    <w:bookmarkEnd w:id="74"/>
    <w:bookmarkEnd w:id="75"/>
    <w:bookmarkEnd w:id="76"/>
    <w:bookmarkStart w:id="77"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conformes à la norme UNI EN 374‑3 de classe 3 ou supérieure (ex. PVC, néoprène ou caoutchouc). L’aptitude et la stabilité d’un gant dépendent de l’utilisation : durée, fréquence de contact et résistance chimique des matériaux. Le choix final doit tenir compte des conditions spécifiques d’utilisation.</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Visières de sécurité fermées conformes à la norme EN 166. Les visières doivent être fermées (pas de visières ouvertes). Aucun usage de lentilles de contact est recommandé.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Vêtements garantissant une protection totale pour la peau, par ex. en coton, caoutchouc, PVC ou viton. Le choix du matériau doit être adapté à la nature du produit et à la durée d’exposition.</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Non nécessaire en cas d’utilisation normale. Aucun masque ou filtre respiratoire n’est requis pour la manipulation quotidienne du produit.</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garantissant une protection totale pour la peau, par ex. en coton, caoutchouc, PVC ou viton. Le choix du matériau doit être adapté à la nature du produit et à la durée d’exposition.</w:t>
            </w:r>
          </w:p>
        </w:tc>
      </w:tr>
    </w:tbl>
    <w:bookmarkEnd w:id="77"/>
    <w:bookmarkStart w:id="78"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le contact avec la peau et les yeux, l’inhalation de vapeurs et brouillards. Ne pas utiliser de conteneurs vides avant qu’ils n’aient été nettoyés. Avant les opérations de transfert, s’assurer que les conteneurs ne contiennent pas de matériaux incompatibles résiduels.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d’un stockage sûr: - Tenir loin de la nourriture, des boissons et des aliments pour animaux. - Les locaux doivent être correctement aérés.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Aucune utilisation particulière.</w:t>
            </w:r>
          </w:p>
        </w:tc>
      </w:tr>
    </w:tbl>
    <w:bookmarkEnd w:id="78"/>
    <w:bookmarkEnd w:id="79"/>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65" Type="http://schemas.openxmlformats.org/officeDocument/2006/relationships/hyperlink" Target="https://www.inrs.fr/publications/bdd/fichetox/fiche.html?refINRS=FICHETOX_290" TargetMode="External"/><Relationship Id="rId68" Type="http://schemas.openxmlformats.org/officeDocument/2006/relationships/hyperlink" Target="https://www.inrs.fr/publications/bdd/fichetox/fiche.html?refINRS=FICHETOX_290&amp;section=VLEPMesurage" TargetMode="External"/><Relationship Id="rId73" Type="http://schemas.openxmlformats.org/officeDocument/2006/relationships/hyperlink" Target="https://www.inrs.fr/publications/bdd/fichetox/fiche.html?refINRS=FICHETOX_290&amp;section=bibliographieAuteurs" TargetMode="External"/><Relationship Id="rId67" Type="http://schemas.openxmlformats.org/officeDocument/2006/relationships/hyperlink" Target="https://www.inrs.fr/publications/bdd/fichetox/fiche.html?refINRS=FICHETOX_290&amp;section=caracteristiques" TargetMode="External"/><Relationship Id="rId66" Type="http://schemas.openxmlformats.org/officeDocument/2006/relationships/hyperlink" Target="https://www.inrs.fr/publications/bdd/fichetox/fiche.html?refINRS=FICHETOX_290&amp;section=generalites" TargetMode="External"/><Relationship Id="rId69" Type="http://schemas.openxmlformats.org/officeDocument/2006/relationships/hyperlink" Target="https://www.inrs.fr/publications/bdd/fichetox/fiche.html?refINRS=FICHETOX_290&amp;section=incendieExplosion" TargetMode="External"/><Relationship Id="rId70" Type="http://schemas.openxmlformats.org/officeDocument/2006/relationships/hyperlink" Target="https://www.inrs.fr/publications/bdd/fichetox/fiche.html?refINRS=FICHETOX_290&amp;section=pathologieToxicologie" TargetMode="External"/><Relationship Id="rId72" Type="http://schemas.openxmlformats.org/officeDocument/2006/relationships/hyperlink" Target="https://www.inrs.fr/publications/bdd/fichetox/fiche.html?refINRS=FICHETOX_290&amp;section=recommandations" TargetMode="External"/><Relationship Id="rId71" Type="http://schemas.openxmlformats.org/officeDocument/2006/relationships/hyperlink" Target="https://www.inrs.fr/publications/bdd/fichetox/fiche.html?refINRS=FICHETOX_290&amp;section=reglementation" TargetMode="External"/><Relationship Id="rId52" Type="http://schemas.openxmlformats.org/officeDocument/2006/relationships/hyperlink" Target="https://www.inrs.fr/publications/bdd/fichetox/fiche.html?refINRS=FICHETOX_330" TargetMode="External"/><Relationship Id="rId55" Type="http://schemas.openxmlformats.org/officeDocument/2006/relationships/hyperlink" Target="https://www.inrs.fr/publications/bdd/fichetox/fiche.html?refINRS=FICHETOX_330&amp;section=VLEPMesurage" TargetMode="External"/><Relationship Id="rId60" Type="http://schemas.openxmlformats.org/officeDocument/2006/relationships/hyperlink" Target="https://www.inrs.fr/publications/bdd/fichetox/fiche.html?refINRS=FICHETOX_330&amp;section=bibliographieAuteurs" TargetMode="External"/><Relationship Id="rId54" Type="http://schemas.openxmlformats.org/officeDocument/2006/relationships/hyperlink" Target="https://www.inrs.fr/publications/bdd/fichetox/fiche.html?refINRS=FICHETOX_330&amp;section=caracteristiques" TargetMode="External"/><Relationship Id="rId53" Type="http://schemas.openxmlformats.org/officeDocument/2006/relationships/hyperlink" Target="https://www.inrs.fr/publications/bdd/fichetox/fiche.html?refINRS=FICHETOX_330&amp;section=generalites" TargetMode="External"/><Relationship Id="rId56" Type="http://schemas.openxmlformats.org/officeDocument/2006/relationships/hyperlink" Target="https://www.inrs.fr/publications/bdd/fichetox/fiche.html?refINRS=FICHETOX_330&amp;section=incendieExplosion" TargetMode="External"/><Relationship Id="rId57" Type="http://schemas.openxmlformats.org/officeDocument/2006/relationships/hyperlink" Target="https://www.inrs.fr/publications/bdd/fichetox/fiche.html?refINRS=FICHETOX_330&amp;section=pathologieToxicologie" TargetMode="External"/><Relationship Id="rId59" Type="http://schemas.openxmlformats.org/officeDocument/2006/relationships/hyperlink" Target="https://www.inrs.fr/publications/bdd/fichetox/fiche.html?refINRS=FICHETOX_330&amp;section=recommandations" TargetMode="External"/><Relationship Id="rId58" Type="http://schemas.openxmlformats.org/officeDocument/2006/relationships/hyperlink" Target="https://www.inrs.fr/publications/bdd/fichetox/fiche.html?refINRS=FICHETOX_330&amp;section=reglementation" TargetMode="External"/><Relationship Id="rId41" Type="http://schemas.openxmlformats.org/officeDocument/2006/relationships/hyperlink" Target="https://www.inrs.fr/publications/bdd/fichetox/fiche.html?refINRS=FICHETOX_66" TargetMode="External"/><Relationship Id="rId44" Type="http://schemas.openxmlformats.org/officeDocument/2006/relationships/hyperlink" Target="https://www.inrs.fr/publications/bdd/fichetox/fiche.html?refINRS=FICHETOX_66&amp;section=VLEPMesurage" TargetMode="External"/><Relationship Id="rId49" Type="http://schemas.openxmlformats.org/officeDocument/2006/relationships/hyperlink" Target="https://www.inrs.fr/publications/bdd/fichetox/fiche.html?refINRS=FICHETOX_66&amp;section=bibliographieAuteurs" TargetMode="External"/><Relationship Id="rId43" Type="http://schemas.openxmlformats.org/officeDocument/2006/relationships/hyperlink" Target="https://www.inrs.fr/publications/bdd/fichetox/fiche.html?refINRS=FICHETOX_66&amp;section=caracteristiques" TargetMode="External"/><Relationship Id="rId42" Type="http://schemas.openxmlformats.org/officeDocument/2006/relationships/hyperlink" Target="https://www.inrs.fr/publications/bdd/fichetox/fiche.html?refINRS=FICHETOX_66&amp;section=generalites" TargetMode="External"/><Relationship Id="rId45" Type="http://schemas.openxmlformats.org/officeDocument/2006/relationships/hyperlink" Target="https://www.inrs.fr/publications/bdd/fichetox/fiche.html?refINRS=FICHETOX_66&amp;section=incendieExplosion" TargetMode="External"/><Relationship Id="rId46" Type="http://schemas.openxmlformats.org/officeDocument/2006/relationships/hyperlink" Target="https://www.inrs.fr/publications/bdd/fichetox/fiche.html?refINRS=FICHETOX_66&amp;section=pathologieToxicologie" TargetMode="External"/><Relationship Id="rId48" Type="http://schemas.openxmlformats.org/officeDocument/2006/relationships/hyperlink" Target="https://www.inrs.fr/publications/bdd/fichetox/fiche.html?refINRS=FICHETOX_66&amp;section=recommandations" TargetMode="External"/><Relationship Id="rId47" Type="http://schemas.openxmlformats.org/officeDocument/2006/relationships/hyperlink" Target="https://www.inrs.fr/publications/bdd/fichetox/fiche.html?refINRS=FICHETOX_66&amp;section=reglementation" TargetMode="External"/></Relationships>
</file>

<file path=word/_rels/footnotes.xml.rels><?xml version='1.0' encoding='UTF-8' standalone='yes'?>
<Relationships xmlns="http://schemas.openxmlformats.org/package/2006/relationships"><Relationship Id="rId65" Type="http://schemas.openxmlformats.org/officeDocument/2006/relationships/hyperlink" Target="https://www.inrs.fr/publications/bdd/fichetox/fiche.html?refINRS=FICHETOX_290" TargetMode="External"/><Relationship Id="rId68" Type="http://schemas.openxmlformats.org/officeDocument/2006/relationships/hyperlink" Target="https://www.inrs.fr/publications/bdd/fichetox/fiche.html?refINRS=FICHETOX_290&amp;section=VLEPMesurage" TargetMode="External"/><Relationship Id="rId73" Type="http://schemas.openxmlformats.org/officeDocument/2006/relationships/hyperlink" Target="https://www.inrs.fr/publications/bdd/fichetox/fiche.html?refINRS=FICHETOX_290&amp;section=bibliographieAuteurs" TargetMode="External"/><Relationship Id="rId67" Type="http://schemas.openxmlformats.org/officeDocument/2006/relationships/hyperlink" Target="https://www.inrs.fr/publications/bdd/fichetox/fiche.html?refINRS=FICHETOX_290&amp;section=caracteristiques" TargetMode="External"/><Relationship Id="rId66" Type="http://schemas.openxmlformats.org/officeDocument/2006/relationships/hyperlink" Target="https://www.inrs.fr/publications/bdd/fichetox/fiche.html?refINRS=FICHETOX_290&amp;section=generalites" TargetMode="External"/><Relationship Id="rId69" Type="http://schemas.openxmlformats.org/officeDocument/2006/relationships/hyperlink" Target="https://www.inrs.fr/publications/bdd/fichetox/fiche.html?refINRS=FICHETOX_290&amp;section=incendieExplosion" TargetMode="External"/><Relationship Id="rId70" Type="http://schemas.openxmlformats.org/officeDocument/2006/relationships/hyperlink" Target="https://www.inrs.fr/publications/bdd/fichetox/fiche.html?refINRS=FICHETOX_290&amp;section=pathologieToxicologie" TargetMode="External"/><Relationship Id="rId72" Type="http://schemas.openxmlformats.org/officeDocument/2006/relationships/hyperlink" Target="https://www.inrs.fr/publications/bdd/fichetox/fiche.html?refINRS=FICHETOX_290&amp;section=recommandations" TargetMode="External"/><Relationship Id="rId71" Type="http://schemas.openxmlformats.org/officeDocument/2006/relationships/hyperlink" Target="https://www.inrs.fr/publications/bdd/fichetox/fiche.html?refINRS=FICHETOX_290&amp;section=reglementation" TargetMode="External"/><Relationship Id="rId52" Type="http://schemas.openxmlformats.org/officeDocument/2006/relationships/hyperlink" Target="https://www.inrs.fr/publications/bdd/fichetox/fiche.html?refINRS=FICHETOX_330" TargetMode="External"/><Relationship Id="rId55" Type="http://schemas.openxmlformats.org/officeDocument/2006/relationships/hyperlink" Target="https://www.inrs.fr/publications/bdd/fichetox/fiche.html?refINRS=FICHETOX_330&amp;section=VLEPMesurage" TargetMode="External"/><Relationship Id="rId60" Type="http://schemas.openxmlformats.org/officeDocument/2006/relationships/hyperlink" Target="https://www.inrs.fr/publications/bdd/fichetox/fiche.html?refINRS=FICHETOX_330&amp;section=bibliographieAuteurs" TargetMode="External"/><Relationship Id="rId54" Type="http://schemas.openxmlformats.org/officeDocument/2006/relationships/hyperlink" Target="https://www.inrs.fr/publications/bdd/fichetox/fiche.html?refINRS=FICHETOX_330&amp;section=caracteristiques" TargetMode="External"/><Relationship Id="rId53" Type="http://schemas.openxmlformats.org/officeDocument/2006/relationships/hyperlink" Target="https://www.inrs.fr/publications/bdd/fichetox/fiche.html?refINRS=FICHETOX_330&amp;section=generalites" TargetMode="External"/><Relationship Id="rId56" Type="http://schemas.openxmlformats.org/officeDocument/2006/relationships/hyperlink" Target="https://www.inrs.fr/publications/bdd/fichetox/fiche.html?refINRS=FICHETOX_330&amp;section=incendieExplosion" TargetMode="External"/><Relationship Id="rId57" Type="http://schemas.openxmlformats.org/officeDocument/2006/relationships/hyperlink" Target="https://www.inrs.fr/publications/bdd/fichetox/fiche.html?refINRS=FICHETOX_330&amp;section=pathologieToxicologie" TargetMode="External"/><Relationship Id="rId59" Type="http://schemas.openxmlformats.org/officeDocument/2006/relationships/hyperlink" Target="https://www.inrs.fr/publications/bdd/fichetox/fiche.html?refINRS=FICHETOX_330&amp;section=recommandations" TargetMode="External"/><Relationship Id="rId58" Type="http://schemas.openxmlformats.org/officeDocument/2006/relationships/hyperlink" Target="https://www.inrs.fr/publications/bdd/fichetox/fiche.html?refINRS=FICHETOX_330&amp;section=reglementation" TargetMode="External"/><Relationship Id="rId41" Type="http://schemas.openxmlformats.org/officeDocument/2006/relationships/hyperlink" Target="https://www.inrs.fr/publications/bdd/fichetox/fiche.html?refINRS=FICHETOX_66" TargetMode="External"/><Relationship Id="rId44" Type="http://schemas.openxmlformats.org/officeDocument/2006/relationships/hyperlink" Target="https://www.inrs.fr/publications/bdd/fichetox/fiche.html?refINRS=FICHETOX_66&amp;section=VLEPMesurage" TargetMode="External"/><Relationship Id="rId49" Type="http://schemas.openxmlformats.org/officeDocument/2006/relationships/hyperlink" Target="https://www.inrs.fr/publications/bdd/fichetox/fiche.html?refINRS=FICHETOX_66&amp;section=bibliographieAuteurs" TargetMode="External"/><Relationship Id="rId43" Type="http://schemas.openxmlformats.org/officeDocument/2006/relationships/hyperlink" Target="https://www.inrs.fr/publications/bdd/fichetox/fiche.html?refINRS=FICHETOX_66&amp;section=caracteristiques" TargetMode="External"/><Relationship Id="rId42" Type="http://schemas.openxmlformats.org/officeDocument/2006/relationships/hyperlink" Target="https://www.inrs.fr/publications/bdd/fichetox/fiche.html?refINRS=FICHETOX_66&amp;section=generalites" TargetMode="External"/><Relationship Id="rId45" Type="http://schemas.openxmlformats.org/officeDocument/2006/relationships/hyperlink" Target="https://www.inrs.fr/publications/bdd/fichetox/fiche.html?refINRS=FICHETOX_66&amp;section=incendieExplosion" TargetMode="External"/><Relationship Id="rId46" Type="http://schemas.openxmlformats.org/officeDocument/2006/relationships/hyperlink" Target="https://www.inrs.fr/publications/bdd/fichetox/fiche.html?refINRS=FICHETOX_66&amp;section=pathologieToxicologie" TargetMode="External"/><Relationship Id="rId48" Type="http://schemas.openxmlformats.org/officeDocument/2006/relationships/hyperlink" Target="https://www.inrs.fr/publications/bdd/fichetox/fiche.html?refINRS=FICHETOX_66&amp;section=recommandations" TargetMode="External"/><Relationship Id="rId47" Type="http://schemas.openxmlformats.org/officeDocument/2006/relationships/hyperlink" Target="https://www.inrs.fr/publications/bdd/fichetox/fiche.html?refINRS=FICHETOX_6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2026-04-07T16:32:27Z</dcterms:created>
  <dcterms:modified xsi:type="dcterms:W3CDTF">2026-04-07T16:32:27Z</dcterms:modified>
</cp:coreProperties>
</file>

<file path=docProps/custom.xml><?xml version="1.0" encoding="utf-8"?>
<Properties xmlns="http://schemas.openxmlformats.org/officeDocument/2006/custom-properties" xmlns:vt="http://schemas.openxmlformats.org/officeDocument/2006/docPropsVTypes"/>
</file>