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16-386373fdssngreenpowerliquidsoap5lt_fr_ver101_20240711</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ITALCHIMICA S.R.L.</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2026-04-07</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16-386373fdssngreenpowerliquidsoap5lt_fr_ver101_20240711</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35" w:name="X965ef372520726bd7d32e19d96b98039521a196"/>
    <w:p>
      <w:pPr>
        <w:pStyle w:val="Heading1"/>
      </w:pPr>
      <w:r>
        <w:t xml:space="preserve">Analyse des dangers : 16-386373fdssngreenpowerliquidsoap5lt_fr_ver101_20240711</w:t>
      </w:r>
    </w:p>
    <w:p>
      <w:pPr>
        <w:pStyle w:val="FirstParagraph"/>
      </w:pPr>
      <w:r>
        <w:t xml:space="preserve">Dans la suite, nous détaillons les dangers associés au produit</w:t>
      </w:r>
      <w:r>
        <w:t xml:space="preserve"> </w:t>
      </w:r>
      <w:r>
        <w:rPr>
          <w:b/>
          <w:bCs/>
        </w:rPr>
        <w:t xml:space="preserve">16-386373fdssngreenpowerliquidsoap5lt_fr_ver101_20240711</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ITALCHIMICA S.R.L.</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liquide transparent</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5,5</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 prévue : produit de nettoyage de la peau.</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2024-07-11</w:t>
            </w:r>
          </w:p>
        </w:tc>
      </w:tr>
    </w:tbl>
    <w:p>
      <w:pPr>
        <w:pStyle w:val="BodyText"/>
      </w:pPr>
      <w:r>
        <w:t xml:space="preserve"> </w:t>
      </w:r>
      <w:r>
        <w:t xml:space="preserve">La FDS date du 2024-07-11. Elle a donc 1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pas disponible</w:t>
      </w:r>
    </w:p>
    <w:p>
      <w:pPr>
        <w:pStyle w:val="Compact"/>
        <w:numPr>
          <w:ilvl w:val="0"/>
          <w:numId w:val="1003"/>
        </w:numPr>
      </w:pPr>
      <w:r>
        <w:t xml:space="preserve">RID : pas disponible</w:t>
      </w:r>
    </w:p>
    <w:p>
      <w:pPr>
        <w:pStyle w:val="Compact"/>
        <w:numPr>
          <w:ilvl w:val="0"/>
          <w:numId w:val="1003"/>
        </w:numPr>
      </w:pPr>
      <w:r>
        <w:t xml:space="preserve">ADN : pas disponible</w:t>
      </w:r>
    </w:p>
    <w:p>
      <w:pPr>
        <w:pStyle w:val="Compact"/>
        <w:numPr>
          <w:ilvl w:val="0"/>
          <w:numId w:val="1003"/>
        </w:numPr>
      </w:pPr>
      <w:r>
        <w:t xml:space="preserve">IMDG : pas disponible</w:t>
      </w:r>
    </w:p>
    <w:p>
      <w:pPr>
        <w:pStyle w:val="Compact"/>
        <w:numPr>
          <w:ilvl w:val="0"/>
          <w:numId w:val="1003"/>
        </w:numPr>
      </w:pPr>
      <w:r>
        <w:t xml:space="preserve">IATA : pas disponible</w:t>
      </w:r>
    </w:p>
    <w:p>
      <w:pPr>
        <w:pStyle w:val="Compact"/>
        <w:numPr>
          <w:ilvl w:val="0"/>
          <w:numId w:val="1003"/>
        </w:numPr>
      </w:pPr>
      <w:r>
        <w:t xml:space="preserve">UN : pas disponible</w:t>
      </w:r>
    </w:p>
    <w:bookmarkEnd w:id="30"/>
    <w:bookmarkStart w:id="31" w:name="Xda6f178de632779b007ca26fa4959a763d2c7f4"/>
    <w:p>
      <w:pPr>
        <w:pStyle w:val="Heading2"/>
      </w:pPr>
      <w:r>
        <w:t xml:space="preserve">Dangers et/ou mesures par voie d’exposition</w:t>
      </w:r>
    </w:p>
    <w:p>
      <w:pPr>
        <w:pStyle w:val="FirstParagraph"/>
      </w:pPr>
      <w:r>
        <w:t xml:space="preserve">skin : Contact avec la peau • En cas de contact avec la peau avec le produit non dilué : laver immédiatement la peau avec beaucoup d’eau.</w:t>
      </w:r>
      <w:r>
        <w:t xml:space="preserve"> </w:t>
      </w:r>
      <w:r>
        <w:t xml:space="preserve">• Si l’irritation persiste, consulter un médecin.</w:t>
      </w:r>
    </w:p>
    <w:p>
      <w:pPr>
        <w:pStyle w:val="BodyText"/>
      </w:pPr>
      <w:r>
        <w:t xml:space="preserve">eyes : Contact avec les yeux • En cas de contact involontaire des yeux avec le produit non dilué : retirer les éventuelles lentilles de contact, rincer immédiatement avec beaucoup d’eau tiède.</w:t>
      </w:r>
      <w:r>
        <w:t xml:space="preserve"> </w:t>
      </w:r>
      <w:r>
        <w:t xml:space="preserve">• Si l’irritation persiste, consulter un médecin.</w:t>
      </w:r>
    </w:p>
    <w:p>
      <w:pPr>
        <w:pStyle w:val="BodyText"/>
      </w:pPr>
      <w:r>
        <w:t xml:space="preserve">ingestion : Ingestion • En cas d’ingestion involontaire de grandes quantités : ne pas provoquer le vomissement.</w:t>
      </w:r>
      <w:r>
        <w:t xml:space="preserve"> </w:t>
      </w:r>
      <w:r>
        <w:t xml:space="preserve">• Si nécessaire, consulter un Centre Antipoisons ou un médecin.</w:t>
      </w:r>
    </w:p>
    <w:p>
      <w:pPr>
        <w:pStyle w:val="BodyText"/>
      </w:pPr>
      <w:r>
        <w:t xml:space="preserve">inhalation : Inhalation • En cas d’inhalation massive (ex. en cas d’aérosol) : transporter la personne à l’extérieur.</w:t>
      </w:r>
      <w:r>
        <w:t xml:space="preserve"> </w:t>
      </w:r>
      <w:r>
        <w:t xml:space="preserve">• Si le malaise persiste, consulter un Centre Antipoisons ou un médecin.</w:t>
      </w:r>
    </w:p>
    <w:p>
      <w:r>
        <w:br w:type="page"/>
      </w:r>
    </w:p>
    <w:bookmarkEnd w:id="31"/>
    <w:bookmarkStart w:id="32" w:name="Xd3fd47f9279b52cc9d4b00e07bdfde0bea6594f"/>
    <w:p>
      <w:pPr>
        <w:pStyle w:val="Heading2"/>
      </w:pPr>
      <w:r>
        <w:t xml:space="preserve">Informations relatives aux substances dangereuses présentes</w:t>
      </w:r>
    </w:p>
    <w:bookmarkEnd w:id="32"/>
    <w:bookmarkStart w:id="33" w:name="X45ad37046213581a41a58cd8a8dba04c2f3aa9c"/>
    <w:p>
      <w:pPr>
        <w:pStyle w:val="Heading2"/>
      </w:pPr>
      <w:r>
        <w:t xml:space="preserve">Protections individuelles et collectives à envisager</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en plastique jetables</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en plastique jetables</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w:t>
            </w:r>
          </w:p>
        </w:tc>
      </w:tr>
    </w:tbl>
    <w:bookmarkEnd w:id="33"/>
    <w:bookmarkStart w:id="34"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Respecter attentivement les instructions indiquées sur l’emballage ou sur la notice/collerette/étiquette jointe. - Éviter tout type d’usage non prévu dans les instructions. - Éviter les mélanges avec d’autres produits ou des substances non préves dans les instructions spécifiques. - Ne jamais remplacer le produit déversé dans les récipients d’origine en vue d’une nouvelle utilisation. - Tenir les produits hors de la portée des enfants. - En cas d’exposition continue pour raisons professionnelles à des agents détergents (savon, shampooing, détergents liquides), porter des gants en plastique jetables, utiliser des instruments de travail soigneusement nettoyés, éviter les instruments en nickel et éviter de porter des bijoux. - Conserver le produit dans un endroit sec et bien aéré (à température ambiante), loin des flammes libres, des sources de chaleur, des appareils électriques ou de la lumière directe du soleil, et ne pas le stocker à une température inférieure à 5 °C. - Bien refermer le récipient après l’emploi.</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dans un endroit sec et bien aéré (à température ambiante). Ne pas stocker ni utiliser le produit à proximité des flammes libres, des sources de chaleur, des appareils électriques ou de la lumière directe du soleil. Ne pas stocker le produit à une température inférieure à 5 °C. Bien refermer le récipient après l’emploi.</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 prévue : produit de nettoyage de la peau.</w:t>
            </w:r>
          </w:p>
        </w:tc>
      </w:tr>
    </w:tbl>
    <w:bookmarkEnd w:id="34"/>
    <w:bookmarkEnd w:id="35"/>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2026-04-07T16:32:37Z</dcterms:created>
  <dcterms:modified xsi:type="dcterms:W3CDTF">2026-04-07T16:32:37Z</dcterms:modified>
</cp:coreProperties>
</file>

<file path=docProps/custom.xml><?xml version="1.0" encoding="utf-8"?>
<Properties xmlns="http://schemas.openxmlformats.org/officeDocument/2006/custom-properties" xmlns:vt="http://schemas.openxmlformats.org/officeDocument/2006/docPropsVTypes"/>
</file>