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17-385334fdsvinaigremenager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BRENNTAG 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17-385334fdsvinaigremenager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9" w:name="X674e4a227b77f98555f7d55670cb3999d46b5c3"/>
    <w:p>
      <w:pPr>
        <w:pStyle w:val="Heading1"/>
      </w:pPr>
      <w:r>
        <w:t xml:space="preserve">Analyse des dangers : 17-385334fdsvinaigremenager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17-385334fdsvinaigremenager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BRENNTAG 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2,4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Usage(s) identifié(s) : Voir le tableau sur la première page de l’annexe.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2017-01-16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2017-01-16. Elle a donc 9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Classe 8</w:t>
      </w:r>
    </w:p>
    <w:p>
      <w:pPr>
        <w:pStyle w:val="Compact"/>
        <w:numPr>
          <w:ilvl w:val="0"/>
          <w:numId w:val="1004"/>
        </w:numPr>
      </w:pPr>
      <w:r>
        <w:t xml:space="preserve">RID : Classe 8</w:t>
      </w:r>
    </w:p>
    <w:p>
      <w:pPr>
        <w:pStyle w:val="Compact"/>
        <w:numPr>
          <w:ilvl w:val="0"/>
          <w:numId w:val="1004"/>
        </w:numPr>
      </w:pPr>
      <w:r>
        <w:t xml:space="preserve">ADN : Classe 8</w:t>
      </w:r>
    </w:p>
    <w:p>
      <w:pPr>
        <w:pStyle w:val="Compact"/>
        <w:numPr>
          <w:ilvl w:val="0"/>
          <w:numId w:val="1004"/>
        </w:numPr>
      </w:pPr>
      <w:r>
        <w:t xml:space="preserve">IMDG : Classe 8</w:t>
      </w:r>
    </w:p>
    <w:p>
      <w:pPr>
        <w:pStyle w:val="Compact"/>
        <w:numPr>
          <w:ilvl w:val="0"/>
          <w:numId w:val="1004"/>
        </w:numPr>
      </w:pPr>
      <w:r>
        <w:t xml:space="preserve">IATA : Classe 8</w:t>
      </w:r>
    </w:p>
    <w:p>
      <w:pPr>
        <w:pStyle w:val="Compact"/>
        <w:numPr>
          <w:ilvl w:val="0"/>
          <w:numId w:val="1004"/>
        </w:numPr>
      </w:pPr>
      <w:r>
        <w:t xml:space="preserve">UN : 2790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Contact avec la peau | • Enlever les vêtements contaminés pendant le rinçage.</w:t>
      </w:r>
      <w:r>
        <w:t xml:space="preserve">• Rincer la peau immédiatement et abondamment à l’eau (éviter de se doucher).</w:t>
      </w:r>
      <w:r>
        <w:t xml:space="preserve">• Appeler un médecin.</w:t>
      </w:r>
    </w:p>
    <w:p>
      <w:pPr>
        <w:pStyle w:val="BodyText"/>
      </w:pPr>
      <w:r>
        <w:t xml:space="preserve">eyes : Contact avec les yeux | • Rincer immédiatement, longuement et abondamment (au moins 15 min.) à l’eau.</w:t>
      </w:r>
      <w:r>
        <w:t xml:space="preserve">• Enlever les verres de contact.</w:t>
      </w:r>
      <w:r>
        <w:t xml:space="preserve">• Consulter un ophtalmologiste.</w:t>
      </w:r>
    </w:p>
    <w:p>
      <w:pPr>
        <w:pStyle w:val="BodyText"/>
      </w:pPr>
      <w:r>
        <w:t xml:space="preserve">ingestion : Ingestion | • NE PAS FAIRE VOMIR.</w:t>
      </w:r>
      <w:r>
        <w:t xml:space="preserve">• Rincer la bouche à l’eau.</w:t>
      </w:r>
      <w:r>
        <w:t xml:space="preserve">• Consulter un médecin ou se rendre à l’hôpital.</w:t>
      </w:r>
    </w:p>
    <w:p>
      <w:pPr>
        <w:pStyle w:val="BodyText"/>
      </w:pPr>
      <w:r>
        <w:t xml:space="preserve">inhalation : Inhalation | • Amener la victime à l’air frais.</w:t>
      </w:r>
      <w:r>
        <w:t xml:space="preserve">• Tenir le patient au calme dans une position demi‑assise.</w:t>
      </w:r>
      <w:r>
        <w:t xml:space="preserve">• Si la victime ne respire plus ou de façon irrégulière, pratiquer la respiration artificielle.</w:t>
      </w:r>
      <w:r>
        <w:t xml:space="preserve">• Appeler un médecin.</w:t>
      </w:r>
    </w:p>
    <w:p>
      <w:r>
        <w:br w:type="page"/>
      </w:r>
    </w:p>
    <w:bookmarkEnd w:id="34"/>
    <w:bookmarkStart w:id="46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5" w:name="acide-acétique"/>
    <w:p>
      <w:pPr>
        <w:pStyle w:val="Heading3"/>
      </w:pPr>
      <w:r>
        <w:t xml:space="preserve">Acide acétique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64-19-7</w:t>
      </w:r>
    </w:p>
    <w:p>
      <w:pPr>
        <w:pStyle w:val="Compact"/>
        <w:numPr>
          <w:ilvl w:val="0"/>
          <w:numId w:val="1005"/>
        </w:numPr>
      </w:pPr>
      <w:r>
        <w:t xml:space="preserve">N° EINECS : 200-580-7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6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06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10.0 - VLE-8h (mg/m³) : 25.0 - VLE-15min (ppm) : 15.0 - VLE-15min (mg/m³) : 38.0</w:t>
            </w:r>
          </w:p>
        </w:tc>
      </w:tr>
    </w:tbl>
    <w:bookmarkStart w:id="44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5">
        <w:r>
          <w:rPr>
            <w:rStyle w:val="Hyperlink"/>
            <w:color w:val="0856A0"/>
            <w:u w:val="single"/>
          </w:rPr>
          <w:t xml:space="preserve">Fiche n°24 - Acide acétique</w:t>
        </w:r>
      </w:hyperlink>
    </w:p>
    <w:p>
      <w:pPr>
        <w:numPr>
          <w:ilvl w:val="0"/>
          <w:numId w:val="1007"/>
        </w:numPr>
      </w:pPr>
      <w:hyperlink r:id="rId36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7"/>
        </w:numPr>
      </w:pPr>
      <w:hyperlink r:id="rId37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7"/>
        </w:numPr>
      </w:pPr>
      <w:hyperlink r:id="rId38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7"/>
        </w:numPr>
      </w:pPr>
      <w:hyperlink r:id="rId39">
        <w:r>
          <w:rPr>
            <w:rStyle w:val="Hyperlink"/>
            <w:color w:val="0856A0"/>
            <w:u w:val="single"/>
          </w:rPr>
          <w:t xml:space="preserve">Incendie - Explosion[5, 6, 15-17]</w:t>
        </w:r>
      </w:hyperlink>
    </w:p>
    <w:p>
      <w:pPr>
        <w:numPr>
          <w:ilvl w:val="0"/>
          <w:numId w:val="1007"/>
        </w:numPr>
      </w:pPr>
      <w:hyperlink r:id="rId40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7"/>
        </w:numPr>
      </w:pPr>
      <w:hyperlink r:id="rId41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7"/>
        </w:numPr>
      </w:pPr>
      <w:hyperlink r:id="rId42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7"/>
        </w:numPr>
      </w:pPr>
      <w:hyperlink r:id="rId43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4"/>
    <w:bookmarkEnd w:id="45"/>
    <w:bookmarkEnd w:id="46"/>
    <w:bookmarkStart w:id="47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Matériau: caoutchouc butylique.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Épaisseur: 0,7 mm.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rupture: &gt; 480 min (8 h).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Norme: EN 374 (gants de sécurité).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/ du visage • Lunettes de sécurité ou écran facial.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Aucune spécification supplémentaire de matériau ou de type de protection (seulement mention de lunettes ou écran).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Matériau: caoutchouc butylique.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Épaisseur: 0,7 mm.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rupture: &gt; 480 min (8 h).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Norme: EN 374 (gants de sécurité).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 respiratoire • Masque agréé-CE contre les gaz et vapeurs acides.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Type: E, couleur jaune.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• Un vêtement de protection approprié (type combinaison ou vêtement résistant aux produits chimiques).</w:t>
            </w:r>
          </w:p>
        </w:tc>
      </w:tr>
    </w:tbl>
    <w:bookmarkEnd w:id="47"/>
    <w:bookmarkStart w:id="48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Éviter toute inhalation de vapeurs et le contact avec la peau, les yeux et les vêtements. - Porter l’équipement individuel de protection recommandé (voir section 8). - Éviter le réchauffage, le giclement et la formation de vapeurs lors de la vidange, du transvasement, de la dilution ou de la dissolution du produit. - En diluant, toujours verser la solution acide sur l’eau, jamais l’inverse. - Ne pas manger, ne pas boire et ne pas fumer pendant l’utilisation. - Des rince‑œil et des douches de sécurité doivent être installés à proximité de toute source possible d’exposition.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uniquement dans le récipient d’origine bien fermé, dans un endroit bien ventilé et à l’épreuve du feu. Tous les produits dangereux devraient être placés sur un bac récepteur ou être entonnés. Conserver à l’écart des : agents oxydants, bases.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Usage(s) identifié(s) : Voir le tableau sur la première page de l’annexe.</w:t>
            </w:r>
          </w:p>
        </w:tc>
      </w:tr>
    </w:tbl>
    <w:bookmarkEnd w:id="48"/>
    <w:bookmarkEnd w:id="49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5" Type="http://schemas.openxmlformats.org/officeDocument/2006/relationships/hyperlink" Target="https://www.inrs.fr/publications/bdd/fichetox/fiche.html?refINRS=FICHETOX_24" TargetMode="External"/><Relationship Id="rId38" Type="http://schemas.openxmlformats.org/officeDocument/2006/relationships/hyperlink" Target="https://www.inrs.fr/publications/bdd/fichetox/fiche.html?refINRS=FICHETOX_24&amp;section=VLEPMesurage" TargetMode="External"/><Relationship Id="rId43" Type="http://schemas.openxmlformats.org/officeDocument/2006/relationships/hyperlink" Target="https://www.inrs.fr/publications/bdd/fichetox/fiche.html?refINRS=FICHETOX_24&amp;section=bibliographieAuteurs" TargetMode="External"/><Relationship Id="rId37" Type="http://schemas.openxmlformats.org/officeDocument/2006/relationships/hyperlink" Target="https://www.inrs.fr/publications/bdd/fichetox/fiche.html?refINRS=FICHETOX_24&amp;section=caracteristiques" TargetMode="External"/><Relationship Id="rId36" Type="http://schemas.openxmlformats.org/officeDocument/2006/relationships/hyperlink" Target="https://www.inrs.fr/publications/bdd/fichetox/fiche.html?refINRS=FICHETOX_24&amp;section=generalites" TargetMode="External"/><Relationship Id="rId39" Type="http://schemas.openxmlformats.org/officeDocument/2006/relationships/hyperlink" Target="https://www.inrs.fr/publications/bdd/fichetox/fiche.html?refINRS=FICHETOX_24&amp;section=incendieExplosion" TargetMode="External"/><Relationship Id="rId40" Type="http://schemas.openxmlformats.org/officeDocument/2006/relationships/hyperlink" Target="https://www.inrs.fr/publications/bdd/fichetox/fiche.html?refINRS=FICHETOX_24&amp;section=pathologieToxicologie" TargetMode="External"/><Relationship Id="rId42" Type="http://schemas.openxmlformats.org/officeDocument/2006/relationships/hyperlink" Target="https://www.inrs.fr/publications/bdd/fichetox/fiche.html?refINRS=FICHETOX_24&amp;section=recommandations" TargetMode="External"/><Relationship Id="rId41" Type="http://schemas.openxmlformats.org/officeDocument/2006/relationships/hyperlink" Target="https://www.inrs.fr/publications/bdd/fichetox/fiche.html?refINRS=FICHETOX_24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5" Type="http://schemas.openxmlformats.org/officeDocument/2006/relationships/hyperlink" Target="https://www.inrs.fr/publications/bdd/fichetox/fiche.html?refINRS=FICHETOX_24" TargetMode="External"/><Relationship Id="rId38" Type="http://schemas.openxmlformats.org/officeDocument/2006/relationships/hyperlink" Target="https://www.inrs.fr/publications/bdd/fichetox/fiche.html?refINRS=FICHETOX_24&amp;section=VLEPMesurage" TargetMode="External"/><Relationship Id="rId43" Type="http://schemas.openxmlformats.org/officeDocument/2006/relationships/hyperlink" Target="https://www.inrs.fr/publications/bdd/fichetox/fiche.html?refINRS=FICHETOX_24&amp;section=bibliographieAuteurs" TargetMode="External"/><Relationship Id="rId37" Type="http://schemas.openxmlformats.org/officeDocument/2006/relationships/hyperlink" Target="https://www.inrs.fr/publications/bdd/fichetox/fiche.html?refINRS=FICHETOX_24&amp;section=caracteristiques" TargetMode="External"/><Relationship Id="rId36" Type="http://schemas.openxmlformats.org/officeDocument/2006/relationships/hyperlink" Target="https://www.inrs.fr/publications/bdd/fichetox/fiche.html?refINRS=FICHETOX_24&amp;section=generalites" TargetMode="External"/><Relationship Id="rId39" Type="http://schemas.openxmlformats.org/officeDocument/2006/relationships/hyperlink" Target="https://www.inrs.fr/publications/bdd/fichetox/fiche.html?refINRS=FICHETOX_24&amp;section=incendieExplosion" TargetMode="External"/><Relationship Id="rId40" Type="http://schemas.openxmlformats.org/officeDocument/2006/relationships/hyperlink" Target="https://www.inrs.fr/publications/bdd/fichetox/fiche.html?refINRS=FICHETOX_24&amp;section=pathologieToxicologie" TargetMode="External"/><Relationship Id="rId42" Type="http://schemas.openxmlformats.org/officeDocument/2006/relationships/hyperlink" Target="https://www.inrs.fr/publications/bdd/fichetox/fiche.html?refINRS=FICHETOX_24&amp;section=recommandations" TargetMode="External"/><Relationship Id="rId41" Type="http://schemas.openxmlformats.org/officeDocument/2006/relationships/hyperlink" Target="https://www.inrs.fr/publications/bdd/fichetox/fiche.html?refINRS=FICHETOX_24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2026-04-07T18:40:38Z</dcterms:created>
  <dcterms:modified xsi:type="dcterms:W3CDTF">2026-04-07T18:40:38Z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