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51-385333fdsfrsanetperfect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Werner &amp; Mertz France Professional SASU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51-385333fdsfrsanetperfect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2" w:name="Xabfe7e6531d313ae10810ed9192a125323c0856"/>
    <w:p>
      <w:pPr>
        <w:pStyle w:val="Heading1"/>
      </w:pPr>
      <w:r>
        <w:t xml:space="preserve">Analyse des dangers : 51-385333fdsfrsanetperfect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51-385333fdsfrsanetperfect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Werner &amp; Mertz France Professional SASU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0,7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de nettoyage.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2024-10-21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2024-10-21. Elle a donc 1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51-385333fdsfrsanetperfect devrait être classée H314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Le pH du produit impose la classification H314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5"/>
        </w:numPr>
      </w:pPr>
      <w:r>
        <w:t xml:space="preserve">P264</w:t>
      </w:r>
      <w:r>
        <w:t xml:space="preserve"> </w:t>
      </w:r>
      <w:r>
        <w:t xml:space="preserve">Se laver … soigneusement après manipulation.</w:t>
      </w:r>
    </w:p>
    <w:p>
      <w:pPr>
        <w:numPr>
          <w:ilvl w:val="0"/>
          <w:numId w:val="1005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5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5"/>
        </w:numPr>
      </w:pPr>
      <w:r>
        <w:t xml:space="preserve">P337+P313</w:t>
      </w:r>
      <w:r>
        <w:t xml:space="preserve"> </w:t>
      </w:r>
      <w:r>
        <w:t xml:space="preserve">Si l’irritation oculaire persiste: consulter un médecin.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-</w:t>
      </w:r>
    </w:p>
    <w:p>
      <w:pPr>
        <w:pStyle w:val="Compact"/>
        <w:numPr>
          <w:ilvl w:val="0"/>
          <w:numId w:val="1006"/>
        </w:numPr>
      </w:pPr>
      <w:r>
        <w:t xml:space="preserve">RID : -</w:t>
      </w:r>
    </w:p>
    <w:p>
      <w:pPr>
        <w:pStyle w:val="Compact"/>
        <w:numPr>
          <w:ilvl w:val="0"/>
          <w:numId w:val="1006"/>
        </w:numPr>
      </w:pPr>
      <w:r>
        <w:t xml:space="preserve">ADN : -</w:t>
      </w:r>
    </w:p>
    <w:p>
      <w:pPr>
        <w:pStyle w:val="Compact"/>
        <w:numPr>
          <w:ilvl w:val="0"/>
          <w:numId w:val="1006"/>
        </w:numPr>
      </w:pPr>
      <w:r>
        <w:t xml:space="preserve">IMDG : -</w:t>
      </w:r>
    </w:p>
    <w:p>
      <w:pPr>
        <w:pStyle w:val="Compact"/>
        <w:numPr>
          <w:ilvl w:val="0"/>
          <w:numId w:val="1006"/>
        </w:numPr>
      </w:pPr>
      <w:r>
        <w:t xml:space="preserve">IATA : -</w:t>
      </w:r>
    </w:p>
    <w:p>
      <w:pPr>
        <w:pStyle w:val="Compact"/>
        <w:numPr>
          <w:ilvl w:val="0"/>
          <w:numId w:val="1006"/>
        </w:numPr>
      </w:pPr>
      <w:r>
        <w:t xml:space="preserve">UN : -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Ôter immédiatement les vêtements et les chaussures contaminés.</w:t>
      </w:r>
      <w:r>
        <w:t xml:space="preserve"> </w:t>
      </w:r>
      <w:r>
        <w:t xml:space="preserve">• Laver la zone affectée au savon avec une grande quantité d’eau.</w:t>
      </w:r>
      <w:r>
        <w:t xml:space="preserve"> </w:t>
      </w:r>
      <w:r>
        <w:t xml:space="preserve">• Si les troubles se prolongent, consulter un médecin.</w:t>
      </w:r>
    </w:p>
    <w:p>
      <w:pPr>
        <w:pStyle w:val="BodyText"/>
      </w:pPr>
      <w:r>
        <w:t xml:space="preserve">eyes : • Protéger l’œil intact.</w:t>
      </w:r>
      <w:r>
        <w:t xml:space="preserve"> </w:t>
      </w:r>
      <w:r>
        <w:t xml:space="preserve">• Retirer les lentilles de contact si cela peut être fait facilement.</w:t>
      </w:r>
      <w:r>
        <w:t xml:space="preserve"> </w:t>
      </w:r>
      <w:r>
        <w:t xml:space="preserve">• Rincer immédiatement et abondamment à l’eau, y compris sous les paupières, pendant au moins 15 minutes.</w:t>
      </w:r>
      <w:r>
        <w:t xml:space="preserve"> </w:t>
      </w:r>
      <w:r>
        <w:t xml:space="preserve">• Si l’irritation oculaire persiste, consulter un médecin spécialiste.</w:t>
      </w:r>
    </w:p>
    <w:p>
      <w:pPr>
        <w:pStyle w:val="BodyText"/>
      </w:pPr>
      <w:r>
        <w:t xml:space="preserve">ingestion : • Se rincer la bouche à l’eau puis boire beaucoup d’eau.</w:t>
      </w:r>
      <w:r>
        <w:t xml:space="preserve"> </w:t>
      </w:r>
      <w:r>
        <w:t xml:space="preserve">• Ne pas faire boire de lait ou de boissons alcoolisées.</w:t>
      </w:r>
      <w:r>
        <w:t xml:space="preserve"> </w:t>
      </w:r>
      <w:r>
        <w:t xml:space="preserve">• Ne jamais faire avaler à une personne inconsciente.</w:t>
      </w:r>
      <w:r>
        <w:t xml:space="preserve"> </w:t>
      </w:r>
      <w:r>
        <w:t xml:space="preserve">• Appeler un médecin.</w:t>
      </w:r>
    </w:p>
    <w:p>
      <w:pPr>
        <w:pStyle w:val="BodyText"/>
      </w:pPr>
      <w:r>
        <w:t xml:space="preserve">inhalation : • Amener la victime à l’air libre.</w:t>
      </w:r>
      <w:r>
        <w:t xml:space="preserve"> </w:t>
      </w:r>
      <w:r>
        <w:t xml:space="preserve">• Si les troubles se prolongent, consulter un médecin.</w:t>
      </w:r>
    </w:p>
    <w:p>
      <w:r>
        <w:br w:type="page"/>
      </w:r>
    </w:p>
    <w:bookmarkEnd w:id="34"/>
    <w:bookmarkStart w:id="39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acide-citrique"/>
    <w:p>
      <w:pPr>
        <w:pStyle w:val="Heading3"/>
      </w:pPr>
      <w:r>
        <w:t xml:space="preserve">acide citrique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77-92-9</w:t>
      </w:r>
    </w:p>
    <w:p>
      <w:pPr>
        <w:pStyle w:val="Compact"/>
        <w:numPr>
          <w:ilvl w:val="0"/>
          <w:numId w:val="1007"/>
        </w:numPr>
      </w:pPr>
      <w:r>
        <w:t xml:space="preserve">N° EINECS : 201-069-1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8"/>
        </w:numPr>
      </w:pPr>
      <w:r>
        <w:t xml:space="preserve">H335</w:t>
      </w:r>
      <w:r>
        <w:t xml:space="preserve"> </w:t>
      </w:r>
      <w:r>
        <w:t xml:space="preserve">Peut irriter les voies respiratoires.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38" w:name="acide-methanesulfonique"/>
    <w:p>
      <w:pPr>
        <w:pStyle w:val="Heading3"/>
      </w:pPr>
      <w:r>
        <w:t xml:space="preserve">acide methanesulfonique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75-75-2</w:t>
      </w:r>
    </w:p>
    <w:p>
      <w:pPr>
        <w:pStyle w:val="Compact"/>
        <w:numPr>
          <w:ilvl w:val="0"/>
          <w:numId w:val="1009"/>
        </w:numPr>
      </w:pPr>
      <w:r>
        <w:t xml:space="preserve">N° EINECS : 200-898-6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2.0 to 3.0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10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0"/>
        </w:numPr>
      </w:pPr>
      <w:r>
        <w:t xml:space="preserve">H312</w:t>
      </w:r>
      <w:r>
        <w:t xml:space="preserve"> </w:t>
      </w:r>
      <w:r>
        <w:t xml:space="preserve">Nocif par contact cutané.</w:t>
      </w:r>
    </w:p>
    <w:p>
      <w:pPr>
        <w:numPr>
          <w:ilvl w:val="0"/>
          <w:numId w:val="1010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10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7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7"/>
    <w:bookmarkEnd w:id="38"/>
    <w:bookmarkEnd w:id="39"/>
    <w:bookmarkStart w:id="40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Matériau : caoutchouc butyle ou caoutchouc nitrile. – Catégorie III conformément à la norme EN 374.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sécurité à protection intégrale – Protection des yeux et du visage contre les éclaboussures.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Matériau : caoutchouc butyle ou caoutchouc nitrile. – Catégorie III conformément à la norme EN 374.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la présence de masques respiratoires ou de filtres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la présence de vêtements de protection ou de combinaisons</w:t>
            </w:r>
          </w:p>
        </w:tc>
      </w:tr>
    </w:tbl>
    <w:bookmarkEnd w:id="40"/>
    <w:bookmarkStart w:id="41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Utiliser un équipement de protection individuelle ; assurer une ventilation adéquate.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le produit dans son contenant d’origine, bien fermé, dans un endroit sec et bien aéré, à température ambiante. Le produit ne se décompose pas s’il est stocké et utilisé conformément aux prescriptions.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de nettoyage.</w:t>
            </w:r>
          </w:p>
        </w:tc>
      </w:tr>
    </w:tbl>
    <w:bookmarkEnd w:id="41"/>
    <w:bookmarkEnd w:id="42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2026-04-07T18:44:09Z</dcterms:created>
  <dcterms:modified xsi:type="dcterms:W3CDTF">2026-04-07T18:44:09Z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