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57-348903fdsgrease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57-348903fdsgrease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2" w:name="analyse-des-dangers-57-348903fdsgrease"/>
    <w:p>
      <w:pPr>
        <w:pStyle w:val="Heading1"/>
      </w:pPr>
      <w:r>
        <w:t xml:space="preserve">Analyse des dangers : 57-348903fdsgrease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57-348903fdsgrease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2025-04-15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2025-04-15.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Oter immédiatement les vêtements et les chaussures contaminés.</w:t>
      </w:r>
      <w:r>
        <w:t xml:space="preserve"> </w:t>
      </w:r>
      <w:r>
        <w:t xml:space="preserve">Laver la zone au savon avec une grande quantité d’eau.</w:t>
      </w:r>
      <w:r>
        <w:t xml:space="preserve"> </w:t>
      </w:r>
      <w:r>
        <w:t xml:space="preserve">Si les troubles se prolongent, consulter un médecin.</w:t>
      </w:r>
    </w:p>
    <w:p>
      <w:pPr>
        <w:pStyle w:val="BodyText"/>
      </w:pPr>
      <w:r>
        <w:t xml:space="preserve">eyes : Protéger l’œil intact.</w:t>
      </w:r>
      <w:r>
        <w:t xml:space="preserve"> </w:t>
      </w:r>
      <w:r>
        <w:t xml:space="preserve">Retirer les lentilles de contact si possible.</w:t>
      </w:r>
      <w:r>
        <w:t xml:space="preserve"> </w:t>
      </w:r>
      <w:r>
        <w:t xml:space="preserve">Rincer immédiatement et abondamment à l’eau, y compris sous les paupières, pendant au moins 15 minutes.</w:t>
      </w:r>
      <w:r>
        <w:t xml:space="preserve"> </w:t>
      </w:r>
      <w:r>
        <w:t xml:space="preserve">Si l’irritation oculaire persiste, consulter un médecin spécialiste.</w:t>
      </w:r>
    </w:p>
    <w:p>
      <w:pPr>
        <w:pStyle w:val="BodyText"/>
      </w:pPr>
      <w:r>
        <w:t xml:space="preserve">ingestion : Se rincer la bouche à l’eau puis boire beaucoup d’eau.</w:t>
      </w:r>
      <w:r>
        <w:t xml:space="preserve"> </w:t>
      </w:r>
      <w:r>
        <w:t xml:space="preserve">Ne pas faire boire de lait ou de boissons alcoolisées.</w:t>
      </w:r>
      <w:r>
        <w:t xml:space="preserve"> </w:t>
      </w:r>
      <w:r>
        <w:t xml:space="preserve">Ne jamais faire avaler à une personne inconsciente.</w:t>
      </w:r>
      <w:r>
        <w:t xml:space="preserve"> </w:t>
      </w:r>
      <w:r>
        <w:t xml:space="preserve">Appeler un médecin.</w:t>
      </w:r>
    </w:p>
    <w:p>
      <w:pPr>
        <w:pStyle w:val="BodyText"/>
      </w:pPr>
      <w:r>
        <w:t xml:space="preserve">inhalation : Amener la victime à l’air libre.</w:t>
      </w:r>
      <w:r>
        <w:t xml:space="preserve"> </w:t>
      </w:r>
      <w:r>
        <w:t xml:space="preserve">Si les troubles se prolongent, consulter un médecin.</w:t>
      </w:r>
    </w:p>
    <w:p>
      <w:r>
        <w:br w:type="page"/>
      </w:r>
    </w:p>
    <w:bookmarkEnd w:id="34"/>
    <w:bookmarkStart w:id="3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alcohols-c12-16-ethoxylated"/>
    <w:p>
      <w:pPr>
        <w:pStyle w:val="Heading3"/>
      </w:pPr>
      <w:r>
        <w:t xml:space="preserve">Alcohols, C12-16, ethoxylated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68551-12-2</w:t>
      </w:r>
    </w:p>
    <w:p>
      <w:pPr>
        <w:pStyle w:val="Compact"/>
        <w:numPr>
          <w:ilvl w:val="0"/>
          <w:numId w:val="1006"/>
        </w:numPr>
      </w:pPr>
      <w:r>
        <w:t xml:space="preserve">N° EINECS : 500-221-7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acides-gras-de-coco-sels-de-potassium"/>
    <w:p>
      <w:pPr>
        <w:pStyle w:val="Heading3"/>
      </w:pPr>
      <w:r>
        <w:t xml:space="preserve">acides gras de coco, sels de potassium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61789-30-8</w:t>
      </w:r>
    </w:p>
    <w:p>
      <w:pPr>
        <w:pStyle w:val="Compact"/>
        <w:numPr>
          <w:ilvl w:val="0"/>
          <w:numId w:val="1008"/>
        </w:numPr>
      </w:pPr>
      <w:r>
        <w:t xml:space="preserve">N° EINECS : 263-049-9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End w:id="39"/>
    <w:bookmarkStart w:id="4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résistants aux produits chimiques, fabriqués en caoutchouc butyle ou en caoutchouc nitrile catégorie III conformément à EN 374. - Aucune mention d’épaisseur ou de temps de pénétration dans le texte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à protection intégrale (écrans faciaux complets). - Utiliser en cas de risque d’éclaboussures.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de protection résistants aux produits chimiques, fabriqués en caoutchouc butyle ou en caoutchouc nitrile catégorie III conformément à EN 374. - Aucune mention d’épaisseur ou de temps de pénétration dans le texte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Pas nécessaire sauf en cas de formation d’aérosols.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Si des aérosols se forment, utiliser un filtre : Filtre ABEK-P3. - Assurer une ventilation adéquate, surtout dans les endroits clos.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0"/>
    <w:bookmarkStart w:id="4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la peau et les yeux. - Ne pas manger, fumer ou boire dans la zone de travail. - Utiliser un équipement de protection individuelle (voir rubrique 8). -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Conserver le produit dans son conteneur d’origine. - Tenir le récipient bien fermé. - Stocker les conteneurs dans un endroit sec et bien aéré. - Entreposer à température ambiante, toujours dans le récipient d’origine.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nettoyage.</w:t>
            </w:r>
          </w:p>
        </w:tc>
      </w:tr>
    </w:tbl>
    <w:bookmarkEnd w:id="41"/>
    <w:bookmarkEnd w:id="4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2026-04-07T18:50:02Z</dcterms:created>
  <dcterms:modified xsi:type="dcterms:W3CDTF">2026-04-07T18:50:02Z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