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boma_blitz-interior-210245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BOMA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2026-04-10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boma_blitz-interior-210245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6" w:name="X7e790113bb7fe43f5c222b40fa56a6e2be63fcf"/>
    <w:p>
      <w:pPr>
        <w:pStyle w:val="Heading1"/>
      </w:pPr>
      <w:r>
        <w:t xml:space="preserve">Analyse des dangers : boma_blitz-interior-210245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boma_blitz-interior-210245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BOMA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7,0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Détergent (AISE_SUMI_PW_8a_2 / AISE_SUMI_PW_10_1 / AISE_SUMI_PW_11_1 / AISE_SUMI_PW_19_1)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2024-01-31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2024-01-31. Elle a donc 2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pas disponible</w:t>
      </w:r>
    </w:p>
    <w:p>
      <w:pPr>
        <w:pStyle w:val="Compact"/>
        <w:numPr>
          <w:ilvl w:val="0"/>
          <w:numId w:val="1003"/>
        </w:numPr>
      </w:pPr>
      <w:r>
        <w:t xml:space="preserve">RID : pas disponible</w:t>
      </w:r>
    </w:p>
    <w:p>
      <w:pPr>
        <w:pStyle w:val="Compact"/>
        <w:numPr>
          <w:ilvl w:val="0"/>
          <w:numId w:val="1003"/>
        </w:numPr>
      </w:pPr>
      <w:r>
        <w:t xml:space="preserve">ADN : pas disponible</w:t>
      </w:r>
    </w:p>
    <w:p>
      <w:pPr>
        <w:pStyle w:val="Compact"/>
        <w:numPr>
          <w:ilvl w:val="0"/>
          <w:numId w:val="1003"/>
        </w:numPr>
      </w:pPr>
      <w:r>
        <w:t xml:space="preserve">IMDG : pas disponible</w:t>
      </w:r>
    </w:p>
    <w:p>
      <w:pPr>
        <w:pStyle w:val="Compact"/>
        <w:numPr>
          <w:ilvl w:val="0"/>
          <w:numId w:val="1003"/>
        </w:numPr>
      </w:pPr>
      <w:r>
        <w:t xml:space="preserve">IATA : pas disponible</w:t>
      </w:r>
    </w:p>
    <w:p>
      <w:pPr>
        <w:pStyle w:val="Compact"/>
        <w:numPr>
          <w:ilvl w:val="0"/>
          <w:numId w:val="1003"/>
        </w:numPr>
      </w:pPr>
      <w:r>
        <w:t xml:space="preserve">UN : non applicable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• Rincer abondamment à l’eau.</w:t>
      </w:r>
    </w:p>
    <w:p>
      <w:pPr>
        <w:pStyle w:val="BodyText"/>
      </w:pPr>
      <w:r>
        <w:t xml:space="preserve">eyes : • Rincer immédiatement et abondamment à l’eau.</w:t>
      </w:r>
      <w:r>
        <w:t xml:space="preserve"> </w:t>
      </w:r>
      <w:r>
        <w:t xml:space="preserve">• Consulter un médecin si nécessaire.</w:t>
      </w:r>
    </w:p>
    <w:p>
      <w:pPr>
        <w:pStyle w:val="BodyText"/>
      </w:pPr>
      <w:r>
        <w:t xml:space="preserve">ingestion : • Rincer immédiatement à l’eau.</w:t>
      </w:r>
      <w:r>
        <w:t xml:space="preserve"> </w:t>
      </w:r>
      <w:r>
        <w:t xml:space="preserve">• Consulter un médecin si nécessaire.</w:t>
      </w:r>
    </w:p>
    <w:p>
      <w:pPr>
        <w:pStyle w:val="BodyText"/>
      </w:pPr>
      <w:r>
        <w:t xml:space="preserve">inhalation : • En cas d’inconfort sévère ou persistant, déplacer la personne à l’air frais.</w:t>
      </w:r>
      <w:r>
        <w:t xml:space="preserve"> </w:t>
      </w:r>
      <w:r>
        <w:t xml:space="preserve">• Consulter un médecin si nécessaire.</w:t>
      </w:r>
    </w:p>
    <w:p>
      <w:r>
        <w:br w:type="page"/>
      </w:r>
    </w:p>
    <w:bookmarkEnd w:id="31"/>
    <w:bookmarkStart w:id="43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2" w:name="éthanol"/>
    <w:p>
      <w:pPr>
        <w:pStyle w:val="Heading3"/>
      </w:pPr>
      <w:r>
        <w:t xml:space="preserve">éthanol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4"/>
        </w:numPr>
      </w:pPr>
      <w:r>
        <w:t xml:space="preserve">N° CAS : 64-17-5</w:t>
      </w:r>
    </w:p>
    <w:p>
      <w:pPr>
        <w:pStyle w:val="Compact"/>
        <w:numPr>
          <w:ilvl w:val="0"/>
          <w:numId w:val="1004"/>
        </w:numPr>
      </w:pPr>
      <w:r>
        <w:t xml:space="preserve">N° EINECS : 200-578-6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5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1000.0 - VLE-8h (mg/m³) : 1907.0</w:t>
            </w:r>
          </w:p>
        </w:tc>
      </w:tr>
    </w:tbl>
    <w:bookmarkStart w:id="41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2">
        <w:r>
          <w:rPr>
            <w:rStyle w:val="Hyperlink"/>
            <w:color w:val="0856A0"/>
            <w:u w:val="single"/>
          </w:rPr>
          <w:t xml:space="preserve">Fiche n°48 - Éthanol</w:t>
        </w:r>
      </w:hyperlink>
    </w:p>
    <w:p>
      <w:pPr>
        <w:numPr>
          <w:ilvl w:val="0"/>
          <w:numId w:val="1006"/>
        </w:numPr>
      </w:pPr>
      <w:hyperlink r:id="rId33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6"/>
        </w:numPr>
      </w:pPr>
      <w:hyperlink r:id="rId34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6"/>
        </w:numPr>
      </w:pPr>
      <w:hyperlink r:id="rId35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6"/>
        </w:numPr>
      </w:pPr>
      <w:hyperlink r:id="rId36">
        <w:r>
          <w:rPr>
            <w:rStyle w:val="Hyperlink"/>
            <w:color w:val="0856A0"/>
            <w:u w:val="single"/>
          </w:rPr>
          <w:t xml:space="preserve">Incendie - Explosion[2, 9, 17-19]</w:t>
        </w:r>
      </w:hyperlink>
    </w:p>
    <w:p>
      <w:pPr>
        <w:numPr>
          <w:ilvl w:val="0"/>
          <w:numId w:val="1006"/>
        </w:numPr>
      </w:pPr>
      <w:hyperlink r:id="rId37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6"/>
        </w:numPr>
      </w:pPr>
      <w:hyperlink r:id="rId38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6"/>
        </w:numPr>
      </w:pPr>
      <w:hyperlink r:id="rId39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6"/>
        </w:numPr>
      </w:pPr>
      <w:hyperlink r:id="rId40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1"/>
    <w:bookmarkEnd w:id="42"/>
    <w:bookmarkEnd w:id="43"/>
    <w:bookmarkStart w:id="44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Matériau: nitrile (norme EN 374)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Épaisseur: 0,35 mm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Temps de rupture: &gt; 480 minutes (8 h)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Contrôle préalable: inspecter minutieusement les gants avant usage, retirer sans toucher l’extérieur avec les mains nues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• Lunettes de protection bien ajustées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Bain ocular: garder un flacon d’eau à portée de main pour un éventuel lavage oculaire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En cas d’utilisation de très grandes quantités de produit, porter un masque et une combinaison de protection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Matériau: nitrile (norme EN 374)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Épaisseur: 0,35 mm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Temps de rupture: &gt; 480 minutes (8 h)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Contrôle préalable: inspecter minutieusement les gants avant usage, retirer sans toucher l’extérieur avec les mains nues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• Pas de besoin de protection respiratoire en conditions normales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En cas d’exposition nocive, utiliser des masques antigaz de type ABEK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À utiliser éventuellement avec une ventilation d’extraction suffisante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 Vêtements imperméables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En cas d’utilisation de très grandes quantités de produit, porter un masque et une combinaison de protection</w:t>
            </w:r>
          </w:p>
        </w:tc>
      </w:tr>
    </w:tbl>
    <w:bookmarkEnd w:id="44"/>
    <w:bookmarkStart w:id="45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manipuler avec prudence afin d’éviter tout déversement.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dans un contenant scellé dans une salle fermée et ventilée, à l’abri du gel. Aucun matériau incompatible n’est mentionné.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Détergent (AISE_SUMI_PW_8a_2 / AISE_SUMI_PW_10_1 / AISE_SUMI_PW_11_1 / AISE_SUMI_PW_19_1)</w:t>
            </w:r>
          </w:p>
        </w:tc>
      </w:tr>
    </w:tbl>
    <w:bookmarkEnd w:id="45"/>
    <w:bookmarkEnd w:id="46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2" Type="http://schemas.openxmlformats.org/officeDocument/2006/relationships/hyperlink" Target="https://www.inrs.fr/publications/bdd/fichetox/fiche.html?refINRS=FICHETOX_48" TargetMode="External"/><Relationship Id="rId35" Type="http://schemas.openxmlformats.org/officeDocument/2006/relationships/hyperlink" Target="https://www.inrs.fr/publications/bdd/fichetox/fiche.html?refINRS=FICHETOX_48&amp;section=VLEPMesurage" TargetMode="External"/><Relationship Id="rId40" Type="http://schemas.openxmlformats.org/officeDocument/2006/relationships/hyperlink" Target="https://www.inrs.fr/publications/bdd/fichetox/fiche.html?refINRS=FICHETOX_48&amp;section=bibliographieAuteurs" TargetMode="External"/><Relationship Id="rId34" Type="http://schemas.openxmlformats.org/officeDocument/2006/relationships/hyperlink" Target="https://www.inrs.fr/publications/bdd/fichetox/fiche.html?refINRS=FICHETOX_48&amp;section=caracteristiques" TargetMode="External"/><Relationship Id="rId33" Type="http://schemas.openxmlformats.org/officeDocument/2006/relationships/hyperlink" Target="https://www.inrs.fr/publications/bdd/fichetox/fiche.html?refINRS=FICHETOX_48&amp;section=generalites" TargetMode="External"/><Relationship Id="rId36" Type="http://schemas.openxmlformats.org/officeDocument/2006/relationships/hyperlink" Target="https://www.inrs.fr/publications/bdd/fichetox/fiche.html?refINRS=FICHETOX_48&amp;section=incendieExplosion" TargetMode="External"/><Relationship Id="rId37" Type="http://schemas.openxmlformats.org/officeDocument/2006/relationships/hyperlink" Target="https://www.inrs.fr/publications/bdd/fichetox/fiche.html?refINRS=FICHETOX_48&amp;section=pathologieToxicologie" TargetMode="External"/><Relationship Id="rId39" Type="http://schemas.openxmlformats.org/officeDocument/2006/relationships/hyperlink" Target="https://www.inrs.fr/publications/bdd/fichetox/fiche.html?refINRS=FICHETOX_48&amp;section=recommandations" TargetMode="External"/><Relationship Id="rId38" Type="http://schemas.openxmlformats.org/officeDocument/2006/relationships/hyperlink" Target="https://www.inrs.fr/publications/bdd/fichetox/fiche.html?refINRS=FICHETOX_48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2" Type="http://schemas.openxmlformats.org/officeDocument/2006/relationships/hyperlink" Target="https://www.inrs.fr/publications/bdd/fichetox/fiche.html?refINRS=FICHETOX_48" TargetMode="External"/><Relationship Id="rId35" Type="http://schemas.openxmlformats.org/officeDocument/2006/relationships/hyperlink" Target="https://www.inrs.fr/publications/bdd/fichetox/fiche.html?refINRS=FICHETOX_48&amp;section=VLEPMesurage" TargetMode="External"/><Relationship Id="rId40" Type="http://schemas.openxmlformats.org/officeDocument/2006/relationships/hyperlink" Target="https://www.inrs.fr/publications/bdd/fichetox/fiche.html?refINRS=FICHETOX_48&amp;section=bibliographieAuteurs" TargetMode="External"/><Relationship Id="rId34" Type="http://schemas.openxmlformats.org/officeDocument/2006/relationships/hyperlink" Target="https://www.inrs.fr/publications/bdd/fichetox/fiche.html?refINRS=FICHETOX_48&amp;section=caracteristiques" TargetMode="External"/><Relationship Id="rId33" Type="http://schemas.openxmlformats.org/officeDocument/2006/relationships/hyperlink" Target="https://www.inrs.fr/publications/bdd/fichetox/fiche.html?refINRS=FICHETOX_48&amp;section=generalites" TargetMode="External"/><Relationship Id="rId36" Type="http://schemas.openxmlformats.org/officeDocument/2006/relationships/hyperlink" Target="https://www.inrs.fr/publications/bdd/fichetox/fiche.html?refINRS=FICHETOX_48&amp;section=incendieExplosion" TargetMode="External"/><Relationship Id="rId37" Type="http://schemas.openxmlformats.org/officeDocument/2006/relationships/hyperlink" Target="https://www.inrs.fr/publications/bdd/fichetox/fiche.html?refINRS=FICHETOX_48&amp;section=pathologieToxicologie" TargetMode="External"/><Relationship Id="rId39" Type="http://schemas.openxmlformats.org/officeDocument/2006/relationships/hyperlink" Target="https://www.inrs.fr/publications/bdd/fichetox/fiche.html?refINRS=FICHETOX_48&amp;section=recommandations" TargetMode="External"/><Relationship Id="rId38" Type="http://schemas.openxmlformats.org/officeDocument/2006/relationships/hyperlink" Target="https://www.inrs.fr/publications/bdd/fichetox/fiche.html?refINRS=FICHETOX_48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2026-04-10T12:09:38Z</dcterms:created>
  <dcterms:modified xsi:type="dcterms:W3CDTF">2026-04-10T12:09:38Z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