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boma_eco-dish_293402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Greenspeed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boma_eco-dish_293402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7" w:name="analyse-des-dangers-boma_eco-dish_293402"/>
    <w:p>
      <w:pPr>
        <w:pStyle w:val="Heading1"/>
      </w:pPr>
      <w:r>
        <w:t xml:space="preserve">Analyse des dangers : boma_eco-dish_293402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boma_eco-dish_293402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Greenspeed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7,0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vaisselle pour usage professionnel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2024-01-31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2024-01-31.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2-bromo-2-nitropropane-1,3-diol devrait être classée H302 selon les dernières classifications harmonisées publiées par l’ECHA.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5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pas disponible</w:t>
      </w:r>
    </w:p>
    <w:p>
      <w:pPr>
        <w:pStyle w:val="Compact"/>
        <w:numPr>
          <w:ilvl w:val="0"/>
          <w:numId w:val="1006"/>
        </w:numPr>
      </w:pPr>
      <w:r>
        <w:t xml:space="preserve">RID : pas disponible</w:t>
      </w:r>
    </w:p>
    <w:p>
      <w:pPr>
        <w:pStyle w:val="Compact"/>
        <w:numPr>
          <w:ilvl w:val="0"/>
          <w:numId w:val="1006"/>
        </w:numPr>
      </w:pPr>
      <w:r>
        <w:t xml:space="preserve">ADN : pas disponible</w:t>
      </w:r>
    </w:p>
    <w:p>
      <w:pPr>
        <w:pStyle w:val="Compact"/>
        <w:numPr>
          <w:ilvl w:val="0"/>
          <w:numId w:val="1006"/>
        </w:numPr>
      </w:pPr>
      <w:r>
        <w:t xml:space="preserve">IMDG : pas disponible</w:t>
      </w:r>
    </w:p>
    <w:p>
      <w:pPr>
        <w:pStyle w:val="Compact"/>
        <w:numPr>
          <w:ilvl w:val="0"/>
          <w:numId w:val="1006"/>
        </w:numPr>
      </w:pPr>
      <w:r>
        <w:t xml:space="preserve">IATA : pas disponible</w:t>
      </w:r>
    </w:p>
    <w:p>
      <w:pPr>
        <w:pStyle w:val="Compact"/>
        <w:numPr>
          <w:ilvl w:val="0"/>
          <w:numId w:val="1006"/>
        </w:numPr>
      </w:pPr>
      <w:r>
        <w:t xml:space="preserve">UN : non applicable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abondamment à l’eau claire.</w:t>
      </w:r>
    </w:p>
    <w:p>
      <w:pPr>
        <w:pStyle w:val="BodyText"/>
      </w:pPr>
      <w:r>
        <w:t xml:space="preserve">eyes : Rincer immédiatement avec beaucoup d’eau. Si l’irritation persiste, consulter un médecin.</w:t>
      </w:r>
    </w:p>
    <w:p>
      <w:pPr>
        <w:pStyle w:val="BodyText"/>
      </w:pPr>
      <w:r>
        <w:t xml:space="preserve">ingestion : Rincer la bouche et, si possible, avaler un peu d’eau, puis rincer abondamment. Consulter un médecin si nécessaire.</w:t>
      </w:r>
    </w:p>
    <w:p>
      <w:pPr>
        <w:pStyle w:val="BodyText"/>
      </w:pPr>
      <w:r>
        <w:t xml:space="preserve">inhalation : Déplacer la personne vers un air frais. Si l’inconfort est sévère ou persiste, consulter un médecin.</w:t>
      </w:r>
    </w:p>
    <w:p>
      <w:r>
        <w:br w:type="page"/>
      </w:r>
    </w:p>
    <w:bookmarkEnd w:id="34"/>
    <w:bookmarkStart w:id="5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lauryléthersulphate-de-sodium"/>
    <w:p>
      <w:pPr>
        <w:pStyle w:val="Heading3"/>
      </w:pPr>
      <w:r>
        <w:t xml:space="preserve">Lauryléthersulphate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68891-38-3</w:t>
      </w:r>
    </w:p>
    <w:p>
      <w:pPr>
        <w:pStyle w:val="Compact"/>
        <w:numPr>
          <w:ilvl w:val="0"/>
          <w:numId w:val="1007"/>
        </w:numPr>
      </w:pPr>
      <w:r>
        <w:t xml:space="preserve">N° EINECS : 500-234-8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8.0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8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8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laurylsulphate-de-sodium"/>
    <w:p>
      <w:pPr>
        <w:pStyle w:val="Heading3"/>
      </w:pPr>
      <w:r>
        <w:t xml:space="preserve">Laurylsulphate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85586-07-8</w:t>
      </w:r>
    </w:p>
    <w:p>
      <w:pPr>
        <w:pStyle w:val="Compact"/>
        <w:numPr>
          <w:ilvl w:val="0"/>
          <w:numId w:val="1009"/>
        </w:numPr>
      </w:pPr>
      <w:r>
        <w:t xml:space="preserve">N° EINECS : 287-809-4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0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0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0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0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Start w:id="40" w:name="X587dc79a6487c451c73f3046b7ab47e41f89a28"/>
    <w:p>
      <w:pPr>
        <w:pStyle w:val="Heading3"/>
      </w:pPr>
      <w:r>
        <w:t xml:space="preserve">D-glucopyranose, glycosides C10-16 (numéros pairs)-alkyle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110615-47-9</w:t>
      </w:r>
    </w:p>
    <w:p>
      <w:pPr>
        <w:pStyle w:val="Compact"/>
        <w:numPr>
          <w:ilvl w:val="0"/>
          <w:numId w:val="1011"/>
        </w:numPr>
      </w:pPr>
      <w:r>
        <w:t xml:space="preserve">N° EINECS : 600-975-8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2.0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2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2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9"/>
    <w:bookmarkEnd w:id="40"/>
    <w:bookmarkStart w:id="42" w:name="lauryl-bétaine"/>
    <w:p>
      <w:pPr>
        <w:pStyle w:val="Heading3"/>
      </w:pPr>
      <w:r>
        <w:t xml:space="preserve">Lauryl bétaine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683-10-3</w:t>
      </w:r>
    </w:p>
    <w:p>
      <w:pPr>
        <w:pStyle w:val="Compact"/>
        <w:numPr>
          <w:ilvl w:val="0"/>
          <w:numId w:val="1013"/>
        </w:numPr>
      </w:pPr>
      <w:r>
        <w:t xml:space="preserve">N° EINECS : 211-669-5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0.7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4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14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Start w:id="53" w:name="bromo-2-nitropropane-13-diol"/>
    <w:p>
      <w:pPr>
        <w:pStyle w:val="Heading3"/>
      </w:pPr>
      <w:r>
        <w:t xml:space="preserve">2-bromo-2-nitropropane-1,3-diol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5"/>
        </w:numPr>
      </w:pPr>
      <w:r>
        <w:t xml:space="preserve">N° CAS : 52-51-7</w:t>
      </w:r>
    </w:p>
    <w:p>
      <w:pPr>
        <w:pStyle w:val="Compact"/>
        <w:numPr>
          <w:ilvl w:val="0"/>
          <w:numId w:val="1015"/>
        </w:numPr>
      </w:pPr>
      <w:r>
        <w:t xml:space="preserve">N° EINECS : 200-143-0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0.03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</w:pPr>
      <w:r>
        <w:t xml:space="preserve">H301</w:t>
      </w:r>
      <w:r>
        <w:t xml:space="preserve"> </w:t>
      </w:r>
      <w:r>
        <w:t xml:space="preserve">Toxique en cas d’ingestion.</w:t>
      </w:r>
    </w:p>
    <w:p>
      <w:pPr>
        <w:numPr>
          <w:ilvl w:val="0"/>
          <w:numId w:val="1016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16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6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6"/>
        </w:numPr>
      </w:pPr>
      <w:r>
        <w:t xml:space="preserve">H331</w:t>
      </w:r>
      <w:r>
        <w:t xml:space="preserve"> </w:t>
      </w:r>
      <w:r>
        <w:t xml:space="preserve">Toxique par inhalation.</w:t>
      </w:r>
    </w:p>
    <w:p>
      <w:pPr>
        <w:numPr>
          <w:ilvl w:val="0"/>
          <w:numId w:val="1016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16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6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numPr>
          <w:ilvl w:val="0"/>
          <w:numId w:val="1016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2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3">
        <w:r>
          <w:rPr>
            <w:rStyle w:val="Hyperlink"/>
            <w:color w:val="0856A0"/>
            <w:u w:val="single"/>
          </w:rPr>
          <w:t xml:space="preserve">Fiche n°327 - Bronopol</w:t>
        </w:r>
      </w:hyperlink>
    </w:p>
    <w:p>
      <w:pPr>
        <w:numPr>
          <w:ilvl w:val="0"/>
          <w:numId w:val="1017"/>
        </w:numPr>
      </w:pPr>
      <w:hyperlink r:id="rId4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7"/>
        </w:numPr>
      </w:pPr>
      <w:hyperlink r:id="rId4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7"/>
        </w:numPr>
      </w:pPr>
      <w:hyperlink r:id="rId4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7"/>
        </w:numPr>
      </w:pPr>
      <w:hyperlink r:id="rId47">
        <w:r>
          <w:rPr>
            <w:rStyle w:val="Hyperlink"/>
            <w:color w:val="0856A0"/>
            <w:u w:val="single"/>
          </w:rPr>
          <w:t xml:space="preserve">Incendie - Explosion</w:t>
        </w:r>
      </w:hyperlink>
    </w:p>
    <w:p>
      <w:pPr>
        <w:numPr>
          <w:ilvl w:val="0"/>
          <w:numId w:val="1017"/>
        </w:numPr>
      </w:pPr>
      <w:hyperlink r:id="rId4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7"/>
        </w:numPr>
      </w:pPr>
      <w:hyperlink r:id="rId4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7"/>
        </w:numPr>
      </w:pPr>
      <w:hyperlink r:id="rId5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7"/>
        </w:numPr>
      </w:pPr>
      <w:hyperlink r:id="rId5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2"/>
    <w:bookmarkEnd w:id="53"/>
    <w:bookmarkEnd w:id="54"/>
    <w:bookmarkStart w:id="5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Matériau: nitrile (norme 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Épaisseur: 0,35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rupture: &gt; 480 minutes (8 h)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Contrôle préalable: vérifier minutieusement l’intégrité des gants avant usage, retirer sans toucher l’extérieur avec les mains nues, laver et sécher les mains après retrait.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• Lunettes de protection bien ajustées (exigence de port obligatoire).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Disposer d’un flacon d’eau pour bains oculaires à portée de main.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En cas d’utilisation de très grandes quantités de produit, porter un masque et une combinaison de protection (voir section 8.2).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Matériau: nitrile (norme 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Épaisseur: 0,35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rupture: &gt; 480 minutes (8 h)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Contrôle préalable: vérifier minutieusement l’intégrité des gants avant usage, retirer sans toucher l’extérieur avec les mains nues, laver et sécher les mains après retrait.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Pas besoin de moyens de protection respiratoire en conditions normales.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En cas d’exposition nocive, utiliser des masques antigaz du type ABEK, éventuellement associés à une ventilation d’extraction suffisante.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Vêtements imperméables (type à préciser selon la concentration et la quantité de substances dangereuses sur le poste de travail).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Le type d’équipement dépend de la concentration et de la quantité de substances dangereuses sur le poste de travail.</w:t>
            </w:r>
          </w:p>
        </w:tc>
      </w:tr>
    </w:tbl>
    <w:bookmarkEnd w:id="55"/>
    <w:bookmarkStart w:id="5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manipuler avec prudence afin d’éviter tout déversement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un contenaire scellé, dans une salle fermée et ventilée, à l’abri du gel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vaisselle pour usage professionnel</w:t>
            </w:r>
          </w:p>
        </w:tc>
      </w:tr>
    </w:tbl>
    <w:bookmarkEnd w:id="56"/>
    <w:bookmarkEnd w:id="5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3" Type="http://schemas.openxmlformats.org/officeDocument/2006/relationships/hyperlink" Target="https://www.inrs.fr/publications/bdd/fichetox/fiche.html?refINRS=FICHETOX_327" TargetMode="External"/><Relationship Id="rId46" Type="http://schemas.openxmlformats.org/officeDocument/2006/relationships/hyperlink" Target="https://www.inrs.fr/publications/bdd/fichetox/fiche.html?refINRS=FICHETOX_327&amp;section=VLEPMesurage" TargetMode="External"/><Relationship Id="rId51" Type="http://schemas.openxmlformats.org/officeDocument/2006/relationships/hyperlink" Target="https://www.inrs.fr/publications/bdd/fichetox/fiche.html?refINRS=FICHETOX_327&amp;section=bibliographieAuteurs" TargetMode="External"/><Relationship Id="rId45" Type="http://schemas.openxmlformats.org/officeDocument/2006/relationships/hyperlink" Target="https://www.inrs.fr/publications/bdd/fichetox/fiche.html?refINRS=FICHETOX_327&amp;section=caracteristiques" TargetMode="External"/><Relationship Id="rId44" Type="http://schemas.openxmlformats.org/officeDocument/2006/relationships/hyperlink" Target="https://www.inrs.fr/publications/bdd/fichetox/fiche.html?refINRS=FICHETOX_327&amp;section=generalites" TargetMode="External"/><Relationship Id="rId47" Type="http://schemas.openxmlformats.org/officeDocument/2006/relationships/hyperlink" Target="https://www.inrs.fr/publications/bdd/fichetox/fiche.html?refINRS=FICHETOX_327&amp;section=incendieExplosion" TargetMode="External"/><Relationship Id="rId48" Type="http://schemas.openxmlformats.org/officeDocument/2006/relationships/hyperlink" Target="https://www.inrs.fr/publications/bdd/fichetox/fiche.html?refINRS=FICHETOX_327&amp;section=pathologieToxicologie" TargetMode="External"/><Relationship Id="rId50" Type="http://schemas.openxmlformats.org/officeDocument/2006/relationships/hyperlink" Target="https://www.inrs.fr/publications/bdd/fichetox/fiche.html?refINRS=FICHETOX_327&amp;section=recommandations" TargetMode="External"/><Relationship Id="rId49" Type="http://schemas.openxmlformats.org/officeDocument/2006/relationships/hyperlink" Target="https://www.inrs.fr/publications/bdd/fichetox/fiche.html?refINRS=FICHETOX_327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3" Type="http://schemas.openxmlformats.org/officeDocument/2006/relationships/hyperlink" Target="https://www.inrs.fr/publications/bdd/fichetox/fiche.html?refINRS=FICHETOX_327" TargetMode="External"/><Relationship Id="rId46" Type="http://schemas.openxmlformats.org/officeDocument/2006/relationships/hyperlink" Target="https://www.inrs.fr/publications/bdd/fichetox/fiche.html?refINRS=FICHETOX_327&amp;section=VLEPMesurage" TargetMode="External"/><Relationship Id="rId51" Type="http://schemas.openxmlformats.org/officeDocument/2006/relationships/hyperlink" Target="https://www.inrs.fr/publications/bdd/fichetox/fiche.html?refINRS=FICHETOX_327&amp;section=bibliographieAuteurs" TargetMode="External"/><Relationship Id="rId45" Type="http://schemas.openxmlformats.org/officeDocument/2006/relationships/hyperlink" Target="https://www.inrs.fr/publications/bdd/fichetox/fiche.html?refINRS=FICHETOX_327&amp;section=caracteristiques" TargetMode="External"/><Relationship Id="rId44" Type="http://schemas.openxmlformats.org/officeDocument/2006/relationships/hyperlink" Target="https://www.inrs.fr/publications/bdd/fichetox/fiche.html?refINRS=FICHETOX_327&amp;section=generalites" TargetMode="External"/><Relationship Id="rId47" Type="http://schemas.openxmlformats.org/officeDocument/2006/relationships/hyperlink" Target="https://www.inrs.fr/publications/bdd/fichetox/fiche.html?refINRS=FICHETOX_327&amp;section=incendieExplosion" TargetMode="External"/><Relationship Id="rId48" Type="http://schemas.openxmlformats.org/officeDocument/2006/relationships/hyperlink" Target="https://www.inrs.fr/publications/bdd/fichetox/fiche.html?refINRS=FICHETOX_327&amp;section=pathologieToxicologie" TargetMode="External"/><Relationship Id="rId50" Type="http://schemas.openxmlformats.org/officeDocument/2006/relationships/hyperlink" Target="https://www.inrs.fr/publications/bdd/fichetox/fiche.html?refINRS=FICHETOX_327&amp;section=recommandations" TargetMode="External"/><Relationship Id="rId49" Type="http://schemas.openxmlformats.org/officeDocument/2006/relationships/hyperlink" Target="https://www.inrs.fr/publications/bdd/fichetox/fiche.html?refINRS=FICHETOX_327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2026-04-10T13:43:13Z</dcterms:created>
  <dcterms:modified xsi:type="dcterms:W3CDTF">2026-04-10T13:43:13Z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