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boma_fd-hipro-nettoie-tout_220058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boma_fd-hipro-nettoie-tout_220058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4" w:name="X8471031d1970853d082963136f6dad793648565"/>
    <w:p>
      <w:pPr>
        <w:pStyle w:val="Heading1"/>
      </w:pPr>
      <w:r>
        <w:t xml:space="preserve">Analyse des dangers : boma_fd-hipro-nettoie-tout_220058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boma_fd-hipro-nettoie-tout_220058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 : peut être utilisé pour le nettoyage (suivi d’un rinçage à l’eau potable) de matériaux et d’objets pouvant se trouver au contact avec les denrées, produits et boissons pour l’alimentation de l’homme et des animaux.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2024-02-01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2024-02-01.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P390</w:t>
      </w:r>
      <w:r>
        <w:t xml:space="preserve"> </w:t>
      </w:r>
      <w:r>
        <w:t xml:space="preserve">Absorber toute substance répandue pour éviter qu’elle attaque les matériaux environnants.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1824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immédiatement les vêtements contaminés.</w:t>
      </w:r>
      <w:r>
        <w:t xml:space="preserve"> </w:t>
      </w:r>
      <w:r>
        <w:t xml:space="preserve">Rincer abondamment la peau avec beaucoup d’eau.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eyes : Rincer d’abord longuement avec beaucoup d’eau.</w:t>
      </w:r>
      <w:r>
        <w:t xml:space="preserve"> </w:t>
      </w:r>
      <w:r>
        <w:t xml:space="preserve">Enlever les lentilles de contact si cela est possible aisément.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ingestion : Laisser rincer la bouche.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Transporter immédiatement à l’hôpital.</w:t>
      </w:r>
    </w:p>
    <w:p>
      <w:pPr>
        <w:pStyle w:val="BodyText"/>
      </w:pPr>
      <w:r>
        <w:t xml:space="preserve">inhalation : Faire asseoir la victime en position droite.</w:t>
      </w:r>
      <w:r>
        <w:t xml:space="preserve"> </w:t>
      </w:r>
      <w:r>
        <w:t xml:space="preserve">Apporter de l’air frais.</w:t>
      </w:r>
      <w:r>
        <w:t xml:space="preserve"> </w:t>
      </w:r>
      <w:r>
        <w:t xml:space="preserve">Laisser se reposer.</w:t>
      </w:r>
      <w:r>
        <w:t xml:space="preserve"> </w:t>
      </w:r>
      <w:r>
        <w:t xml:space="preserve">Transporter immédiatement à l’hôpital.</w:t>
      </w:r>
    </w:p>
    <w:p>
      <w:r>
        <w:br w:type="page"/>
      </w:r>
    </w:p>
    <w:bookmarkEnd w:id="34"/>
    <w:bookmarkStart w:id="6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56" w:name="butoxyéthanol"/>
    <w:p>
      <w:pPr>
        <w:pStyle w:val="Heading3"/>
      </w:pPr>
      <w:r>
        <w:t xml:space="preserve">2-butoxyéthanol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111-76-2</w:t>
      </w:r>
    </w:p>
    <w:p>
      <w:pPr>
        <w:pStyle w:val="Compact"/>
        <w:numPr>
          <w:ilvl w:val="0"/>
          <w:numId w:val="1009"/>
        </w:numPr>
      </w:pPr>
      <w:r>
        <w:t xml:space="preserve">N° EINECS : 203-905-0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98.0 - VLE-15min (ppm) : 50.0 - VLE-15min (mg/m³) : 246.0</w:t>
            </w:r>
          </w:p>
        </w:tc>
      </w:tr>
    </w:tbl>
    <w:bookmarkStart w:id="55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6">
        <w:r>
          <w:rPr>
            <w:rStyle w:val="Hyperlink"/>
            <w:color w:val="0856A0"/>
            <w:u w:val="single"/>
          </w:rPr>
          <w:t xml:space="preserve">Fiche n°76 - 2-Butoxyéthanol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Incendie - Explosion[3, 4]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5"/>
    <w:bookmarkEnd w:id="56"/>
    <w:bookmarkStart w:id="58" w:name="dodécylbenzènesulfonate-de-sodium"/>
    <w:p>
      <w:pPr>
        <w:pStyle w:val="Heading3"/>
      </w:pPr>
      <w:r>
        <w:t xml:space="preserve">Dodécylbenzènesulfonate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68411-30-3</w:t>
      </w:r>
    </w:p>
    <w:p>
      <w:pPr>
        <w:pStyle w:val="Compact"/>
        <w:numPr>
          <w:ilvl w:val="0"/>
          <w:numId w:val="1012"/>
        </w:numPr>
      </w:pPr>
      <w:r>
        <w:t xml:space="preserve">N° EINECS : 270-115-0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7"/>
    <w:bookmarkEnd w:id="58"/>
    <w:bookmarkStart w:id="60" w:name="cumolsulphonate-de-sodium"/>
    <w:p>
      <w:pPr>
        <w:pStyle w:val="Heading3"/>
      </w:pPr>
      <w:r>
        <w:t xml:space="preserve">Cumolsulphonate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15763-76-5</w:t>
      </w:r>
    </w:p>
    <w:p>
      <w:pPr>
        <w:pStyle w:val="Compact"/>
        <w:numPr>
          <w:ilvl w:val="0"/>
          <w:numId w:val="1014"/>
        </w:numPr>
      </w:pPr>
      <w:r>
        <w:t xml:space="preserve">N° EINECS : 239-854-6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9"/>
    <w:bookmarkEnd w:id="60"/>
    <w:bookmarkEnd w:id="61"/>
    <w:bookmarkStart w:id="6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(norme EN 374) Épaisseur : 0,35 mm Temps de rupture : &gt; 480 minutes (8 h) Contrôle minutieux des gants avant usage Retirer les gants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bien ajustées En cas d’utilisation de très importantes quantités de produit, porter un masque et une combinaison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(norme EN 374) Épaisseur : 0,35 mm Temps de rupture : &gt; 480 minutes (8 h) Contrôle minutieux des gants avant usage Retirer les gants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(protection respiratoire) Utiliser avec ventilation d’extraction suffisante En cas de risques respiratoires, utiliser un masque épurateur Type : ABEK (conforme aux niveaux préjudiciables)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 Combinaisons complètes (si très importantes quantités de produit) Type d’équipement dépend de la concentration et de la quantité de substances dangereuses</w:t>
            </w:r>
          </w:p>
        </w:tc>
      </w:tr>
    </w:tbl>
    <w:bookmarkEnd w:id="62"/>
    <w:bookmarkStart w:id="6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 dans une salle fermée et ventilée, à l’abri du gel. Aucun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 : peut être utilisé pour le nettoyage (suivi d’un rinçage à l’eau potable) de matériaux et d’objets pouvant se trouver au contact avec les denrées, produits et boissons pour l’alimentation de l’homme et des animaux.</w:t>
            </w:r>
          </w:p>
        </w:tc>
      </w:tr>
    </w:tbl>
    <w:bookmarkEnd w:id="63"/>
    <w:bookmarkEnd w:id="6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6" Type="http://schemas.openxmlformats.org/officeDocument/2006/relationships/hyperlink" Target="https://www.inrs.fr/publications/bdd/fichetox/fiche.html?refINRS=FICHETOX_76" TargetMode="External"/><Relationship Id="rId49" Type="http://schemas.openxmlformats.org/officeDocument/2006/relationships/hyperlink" Target="https://www.inrs.fr/publications/bdd/fichetox/fiche.html?refINRS=FICHETOX_76&amp;section=VLEPMesurage" TargetMode="External"/><Relationship Id="rId54" Type="http://schemas.openxmlformats.org/officeDocument/2006/relationships/hyperlink" Target="https://www.inrs.fr/publications/bdd/fichetox/fiche.html?refINRS=FICHETOX_76&amp;section=bibliographieAuteurs" TargetMode="External"/><Relationship Id="rId48" Type="http://schemas.openxmlformats.org/officeDocument/2006/relationships/hyperlink" Target="https://www.inrs.fr/publications/bdd/fichetox/fiche.html?refINRS=FICHETOX_76&amp;section=caracteristiques" TargetMode="External"/><Relationship Id="rId47" Type="http://schemas.openxmlformats.org/officeDocument/2006/relationships/hyperlink" Target="https://www.inrs.fr/publications/bdd/fichetox/fiche.html?refINRS=FICHETOX_76&amp;section=generalites" TargetMode="External"/><Relationship Id="rId50" Type="http://schemas.openxmlformats.org/officeDocument/2006/relationships/hyperlink" Target="https://www.inrs.fr/publications/bdd/fichetox/fiche.html?refINRS=FICHETOX_76&amp;section=incendieExplosion" TargetMode="External"/><Relationship Id="rId51" Type="http://schemas.openxmlformats.org/officeDocument/2006/relationships/hyperlink" Target="https://www.inrs.fr/publications/bdd/fichetox/fiche.html?refINRS=FICHETOX_76&amp;section=pathologieToxicologie" TargetMode="External"/><Relationship Id="rId53" Type="http://schemas.openxmlformats.org/officeDocument/2006/relationships/hyperlink" Target="https://www.inrs.fr/publications/bdd/fichetox/fiche.html?refINRS=FICHETOX_76&amp;section=recommandations" TargetMode="External"/><Relationship Id="rId52" Type="http://schemas.openxmlformats.org/officeDocument/2006/relationships/hyperlink" Target="https://www.inrs.fr/publications/bdd/fichetox/fiche.html?refINRS=FICHETOX_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6" Type="http://schemas.openxmlformats.org/officeDocument/2006/relationships/hyperlink" Target="https://www.inrs.fr/publications/bdd/fichetox/fiche.html?refINRS=FICHETOX_76" TargetMode="External"/><Relationship Id="rId49" Type="http://schemas.openxmlformats.org/officeDocument/2006/relationships/hyperlink" Target="https://www.inrs.fr/publications/bdd/fichetox/fiche.html?refINRS=FICHETOX_76&amp;section=VLEPMesurage" TargetMode="External"/><Relationship Id="rId54" Type="http://schemas.openxmlformats.org/officeDocument/2006/relationships/hyperlink" Target="https://www.inrs.fr/publications/bdd/fichetox/fiche.html?refINRS=FICHETOX_76&amp;section=bibliographieAuteurs" TargetMode="External"/><Relationship Id="rId48" Type="http://schemas.openxmlformats.org/officeDocument/2006/relationships/hyperlink" Target="https://www.inrs.fr/publications/bdd/fichetox/fiche.html?refINRS=FICHETOX_76&amp;section=caracteristiques" TargetMode="External"/><Relationship Id="rId47" Type="http://schemas.openxmlformats.org/officeDocument/2006/relationships/hyperlink" Target="https://www.inrs.fr/publications/bdd/fichetox/fiche.html?refINRS=FICHETOX_76&amp;section=generalites" TargetMode="External"/><Relationship Id="rId50" Type="http://schemas.openxmlformats.org/officeDocument/2006/relationships/hyperlink" Target="https://www.inrs.fr/publications/bdd/fichetox/fiche.html?refINRS=FICHETOX_76&amp;section=incendieExplosion" TargetMode="External"/><Relationship Id="rId51" Type="http://schemas.openxmlformats.org/officeDocument/2006/relationships/hyperlink" Target="https://www.inrs.fr/publications/bdd/fichetox/fiche.html?refINRS=FICHETOX_76&amp;section=pathologieToxicologie" TargetMode="External"/><Relationship Id="rId53" Type="http://schemas.openxmlformats.org/officeDocument/2006/relationships/hyperlink" Target="https://www.inrs.fr/publications/bdd/fichetox/fiche.html?refINRS=FICHETOX_76&amp;section=recommandations" TargetMode="External"/><Relationship Id="rId52" Type="http://schemas.openxmlformats.org/officeDocument/2006/relationships/hyperlink" Target="https://www.inrs.fr/publications/bdd/fichetox/fiche.html?refINRS=FICHETOX_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2026-04-10T13:51:16Z</dcterms:created>
  <dcterms:modified xsi:type="dcterms:W3CDTF">2026-04-10T13:51:16Z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