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boma_handsoap-mild_210008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boma_handsoap-mild_210008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79c55b3268fb01ebf7ba243d36d5d3c4c13a0f2"/>
    <w:p>
      <w:pPr>
        <w:pStyle w:val="Heading1"/>
      </w:pPr>
      <w:r>
        <w:t xml:space="preserve">Analyse des dangers : boma_handsoap-mild_210008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boma_handsoap-mild_210008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6,8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Savon Main (savon pour les mains)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d’abord avec beaucoup d’eau, puis consulter un médecin si nécessaire.</w:t>
      </w:r>
    </w:p>
    <w:p>
      <w:pPr>
        <w:pStyle w:val="BodyText"/>
      </w:pPr>
      <w:r>
        <w:t xml:space="preserve">ingestion : Rincer d’abord avec beaucoup d’eau, puis consulter un médecin si nécessaire.</w:t>
      </w:r>
    </w:p>
    <w:p>
      <w:pPr>
        <w:pStyle w:val="BodyText"/>
      </w:pPr>
      <w:r>
        <w:t xml:space="preserve">inhalation : En cas d’inconfort sévère ou persistant : déplacer la personne à l’air frais et consulter un médecin.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lauryléthersulphate-de-sodium"/>
    <w:p>
      <w:pPr>
        <w:pStyle w:val="Heading3"/>
      </w:pPr>
      <w:r>
        <w:t xml:space="preserve">Lauryléthersulphate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68891-38-3</w:t>
      </w:r>
    </w:p>
    <w:p>
      <w:pPr>
        <w:pStyle w:val="Compact"/>
        <w:numPr>
          <w:ilvl w:val="0"/>
          <w:numId w:val="1004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5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(norme EN 374) • Épaisseur : 0,35 mm • Temps de rupture : &gt; 480 minutes (8 h)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Écran facial ou lunettes de protection bien ajustées • Flacon d’eau pour bains oculaires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(norme EN 374) • Épaisseur : 0,35 mm • Temps de rupture : &gt; 480 minutes (8 h) • Contrôle préalable : vérifier minutieusement l’état des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de besoin de protection respiratoire en conditions normales • En cas d’exposition nocive : utiliser des masques antigaz de type ABEK • À utiliser éventuellement avec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Aucun équipement spécifique mentionné dans la section 8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Savon Main (savon pour les mains)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2026-04-10T13:53:30Z</dcterms:created>
  <dcterms:modified xsi:type="dcterms:W3CDTF">2026-04-10T13:53:30Z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