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boma-splendid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BOMA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boma-splendid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8" w:name="analyse-des-dangers-boma-splendid"/>
    <w:p>
      <w:pPr>
        <w:pStyle w:val="Heading1"/>
      </w:pPr>
      <w:r>
        <w:t xml:space="preserve">Analyse des dangers : boma-splendid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boma-splendid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BOMA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12,3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Détergent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2024-01-31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2024-01-31. Elle a donc 2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3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P301+P330+P331</w:t>
      </w:r>
      <w:r>
        <w:t xml:space="preserve"> </w:t>
      </w:r>
      <w:r>
        <w:t xml:space="preserve">EN CAS D’INGESTION: rincer la bouche. NE PAS faire vomir.</w:t>
      </w:r>
    </w:p>
    <w:p>
      <w:pPr>
        <w:numPr>
          <w:ilvl w:val="0"/>
          <w:numId w:val="1004"/>
        </w:numPr>
      </w:pPr>
      <w:r>
        <w:t xml:space="preserve">P303+P361+P353</w:t>
      </w:r>
      <w:r>
        <w:t xml:space="preserve"> </w:t>
      </w:r>
      <w:r>
        <w:t xml:space="preserve">EN CAS DE CONTACT AVEC LA PEAU (ou les cheveux):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P310</w:t>
      </w:r>
      <w:r>
        <w:t xml:space="preserve"> </w:t>
      </w:r>
      <w:r>
        <w:t xml:space="preserve">P310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-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-</w:t>
      </w:r>
    </w:p>
    <w:p>
      <w:pPr>
        <w:pStyle w:val="Compact"/>
        <w:numPr>
          <w:ilvl w:val="0"/>
          <w:numId w:val="1005"/>
        </w:numPr>
      </w:pPr>
      <w:r>
        <w:t xml:space="preserve">IATA : -</w:t>
      </w:r>
    </w:p>
    <w:p>
      <w:pPr>
        <w:pStyle w:val="Compact"/>
        <w:numPr>
          <w:ilvl w:val="0"/>
          <w:numId w:val="1005"/>
        </w:numPr>
      </w:pPr>
      <w:r>
        <w:t xml:space="preserve">UN : -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Retirer immédiatement les vêtements contaminés.</w:t>
      </w:r>
      <w:r>
        <w:t xml:space="preserve"> </w:t>
      </w:r>
      <w:r>
        <w:t xml:space="preserve">Rincer abondamment la peau avec beaucoup d’eau.</w:t>
      </w:r>
      <w:r>
        <w:t xml:space="preserve"> </w:t>
      </w:r>
      <w:r>
        <w:t xml:space="preserve">Transporter immédiatement à l’hôpital.</w:t>
      </w:r>
    </w:p>
    <w:p>
      <w:pPr>
        <w:pStyle w:val="BodyText"/>
      </w:pPr>
      <w:r>
        <w:t xml:space="preserve">eyes : Rincer d’abord longuement avec beaucoup d’eau.</w:t>
      </w:r>
      <w:r>
        <w:t xml:space="preserve"> </w:t>
      </w:r>
      <w:r>
        <w:t xml:space="preserve">Enlever les lentilles de contact si cela est possible aisément.</w:t>
      </w:r>
      <w:r>
        <w:t xml:space="preserve"> </w:t>
      </w:r>
      <w:r>
        <w:t xml:space="preserve">Transporter immédiatement à l’hôpital.</w:t>
      </w:r>
    </w:p>
    <w:p>
      <w:pPr>
        <w:pStyle w:val="BodyText"/>
      </w:pPr>
      <w:r>
        <w:t xml:space="preserve">ingestion : Laisser rincer la bouche.</w:t>
      </w:r>
      <w:r>
        <w:t xml:space="preserve"> </w:t>
      </w:r>
      <w:r>
        <w:t xml:space="preserve">Ne pas provoquer de vomissements.</w:t>
      </w:r>
      <w:r>
        <w:t xml:space="preserve"> </w:t>
      </w:r>
      <w:r>
        <w:t xml:space="preserve">Transporter immédiatement à l’hôpital.</w:t>
      </w:r>
    </w:p>
    <w:p>
      <w:pPr>
        <w:pStyle w:val="BodyText"/>
      </w:pPr>
      <w:r>
        <w:t xml:space="preserve">inhalation : Faire asseoir la personne en position droite.</w:t>
      </w:r>
      <w:r>
        <w:t xml:space="preserve"> </w:t>
      </w:r>
      <w:r>
        <w:t xml:space="preserve">Apporter de l’air frais.</w:t>
      </w:r>
      <w:r>
        <w:t xml:space="preserve"> </w:t>
      </w:r>
      <w:r>
        <w:t xml:space="preserve">Laisser se reposer.</w:t>
      </w:r>
      <w:r>
        <w:t xml:space="preserve"> </w:t>
      </w:r>
      <w:r>
        <w:t xml:space="preserve">Transporter immédiatement à l’hôpital.</w:t>
      </w:r>
    </w:p>
    <w:p>
      <w:r>
        <w:br w:type="page"/>
      </w:r>
    </w:p>
    <w:bookmarkEnd w:id="34"/>
    <w:bookmarkStart w:id="35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End w:id="35"/>
    <w:bookmarkStart w:id="36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en nitrile (norme EN 374). Temps de rupture &gt; 480 minutes. Épaisseur = 0,35 mm. Vérifier minutieusement les gants avant usage. Retirer les gants sans toucher l’extérieur avec les mains nues. Consulter le fabricant pour confirmer l’adéquation à la tâche.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Port d’une protection oculaire bien ajustée (lunettes de protection). Garder un flacon d’eau pour bains oculaires à portée de main. En cas d’utilisation de grandes quantités de produit, porter un masque et une combinaison de protection (voir section 8 « Autre protection »).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en nitrile (norme EN 374). Temps de rupture &gt; 480 minutes. Épaisseur = 0,35 mm. Vérifier minutieusement les gants avant usage. Retirer les gants sans toucher l’extérieur avec les mains nues. Consulter le fabricant pour confirmer l’adéquation à la tâche.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Utiliser avec ventilation d’extraction suffisante. En cas de risques respiratoires, porter un masque épurateur. Pour protéger contre les niveaux préjudiciables, utiliser le type ABEK.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imperméables. Le type d’équipement dépend de la concentration et de la quantité de substances dangereuses présentes sur le poste de travail.</w:t>
            </w:r>
          </w:p>
        </w:tc>
      </w:tr>
    </w:tbl>
    <w:bookmarkEnd w:id="36"/>
    <w:bookmarkStart w:id="37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manipuler avec prudence afin d’éviter tout déversement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un contenant scellé, dans une salle fermée et ventilée, à l’abri du gel.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Détergent</w:t>
            </w:r>
          </w:p>
        </w:tc>
      </w:tr>
    </w:tbl>
    <w:bookmarkEnd w:id="37"/>
    <w:bookmarkEnd w:id="38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2026-04-10T13:55:43Z</dcterms:created>
  <dcterms:modified xsi:type="dcterms:W3CDTF">2026-04-10T13:55:43Z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