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christeyns_greenr-sanit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Christeyns France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christeyns_greenr-sanit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173c7c53e29ea3722ef111c18d3552eadcdee50"/>
    <w:p>
      <w:pPr>
        <w:pStyle w:val="Heading1"/>
      </w:pPr>
      <w:r>
        <w:t xml:space="preserve">Analyse des dangers : christeyns_greenr-sanit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christeyns_greenr-sanit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Christeyns France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2,47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acide pour sanitaires.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2018-07-17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2018-07-17.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Acide citrique devrait être classée H335 selon les dernières classifications harmonisées publiées par l’ECHA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l’eau.</w:t>
      </w:r>
    </w:p>
    <w:p>
      <w:pPr>
        <w:pStyle w:val="BodyText"/>
      </w:pPr>
      <w:r>
        <w:t xml:space="preserve">eyes : Laver abondamment à l’eau, puis se rendre chez un médecin si nécessaire.</w:t>
      </w:r>
    </w:p>
    <w:p>
      <w:pPr>
        <w:pStyle w:val="BodyText"/>
      </w:pPr>
      <w:r>
        <w:t xml:space="preserve">ingestion : En cas d’ingestion, consulter immédiatement un médecin et lui montrer l’emballage ou l’étiquette.</w:t>
      </w:r>
    </w:p>
    <w:p>
      <w:pPr>
        <w:pStyle w:val="BodyText"/>
      </w:pPr>
      <w:r>
        <w:t xml:space="preserve">inhalation : En cas de malaise, consulter immédiatement un médecin.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acide-citrique"/>
    <w:p>
      <w:pPr>
        <w:pStyle w:val="Heading3"/>
      </w:pPr>
      <w:r>
        <w:t xml:space="preserve">Acide citrique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5949-29-1</w:t>
      </w:r>
    </w:p>
    <w:p>
      <w:pPr>
        <w:pStyle w:val="Compact"/>
        <w:numPr>
          <w:ilvl w:val="0"/>
          <w:numId w:val="1005"/>
        </w:numPr>
      </w:pPr>
      <w:r>
        <w:t xml:space="preserve">N° EINECS : 201-069-1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6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non exigée.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vêtement de travail spécialement recommandé.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le contact avec la peau et les yeux. - Prévoir une douche, un bain oculaire et un point d’eau à proximité. - Se laver les mains après toute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l’emballage d’origine, à une température de 5 – 40 °C. Matière(s) à éviter : non déterminé.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acide pour sanitaires.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2026-04-10T14:03:26Z</dcterms:created>
  <dcterms:modified xsi:type="dcterms:W3CDTF">2026-04-10T14:03:26Z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