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tana-apesin_spray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tana-apesin_spray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66" w:name="analyse-des-dangers-tana-apesin_spray"/>
    <w:p>
      <w:pPr>
        <w:pStyle w:val="Heading1"/>
      </w:pPr>
      <w:r>
        <w:t xml:space="preserve">Analyse des dangers : tana-apesin_spray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tana-apesin_spray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5,9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de la substance/du mélange : Produit biocide.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2025-04-15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2025-04-15.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4" name="Picture"/>
            <a:graphic>
              <a:graphicData uri="http://schemas.openxmlformats.org/drawingml/2006/picture">
                <pic:pic>
                  <pic:nvPicPr>
                    <pic:cNvPr descr="templates/SGH05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7" name="Picture"/>
            <a:graphic>
              <a:graphicData uri="http://schemas.openxmlformats.org/drawingml/2006/picture">
                <pic:pic>
                  <pic:nvPicPr>
                    <pic:cNvPr descr="templates/SGH07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3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4"/>
        </w:numPr>
      </w:pPr>
      <w:r>
        <w:t xml:space="preserve">P233</w:t>
      </w:r>
      <w:r>
        <w:t xml:space="preserve"> </w:t>
      </w:r>
      <w:r>
        <w:t xml:space="preserve">Maintenir le récipient fermé de manière étanche.</w:t>
      </w:r>
    </w:p>
    <w:p>
      <w:pPr>
        <w:numPr>
          <w:ilvl w:val="0"/>
          <w:numId w:val="1004"/>
        </w:numPr>
      </w:pPr>
      <w:r>
        <w:t xml:space="preserve">P261</w:t>
      </w:r>
      <w:r>
        <w:t xml:space="preserve"> </w:t>
      </w:r>
      <w:r>
        <w:t xml:space="preserve">Éviter de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P271</w:t>
      </w:r>
      <w:r>
        <w:t xml:space="preserve"> </w:t>
      </w:r>
      <w:r>
        <w:t xml:space="preserve">Utiliser seulement en plein air ou dans un endroit bien ventilé.</w:t>
      </w:r>
    </w:p>
    <w:p>
      <w:pPr>
        <w:numPr>
          <w:ilvl w:val="0"/>
          <w:numId w:val="1004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4"/>
        </w:numPr>
      </w:pPr>
      <w:r>
        <w:t xml:space="preserve">P305+P351+P338+P310</w:t>
      </w:r>
      <w:r>
        <w:t xml:space="preserve"> </w:t>
      </w:r>
      <w:r>
        <w:t xml:space="preserve">EN CAS DE CONTACT AVEC LES YEUX:</w:t>
      </w:r>
    </w:p>
    <w:p>
      <w:pPr>
        <w:numPr>
          <w:ilvl w:val="0"/>
          <w:numId w:val="1004"/>
        </w:numPr>
      </w:pPr>
      <w:r>
        <w:t xml:space="preserve">P403+P235</w:t>
      </w:r>
      <w:r>
        <w:t xml:space="preserve"> </w:t>
      </w:r>
      <w:r>
        <w:t xml:space="preserve">Stocker dans un endroit bien ventilé. Tenir au frais.</w:t>
      </w:r>
    </w:p>
    <w:p>
      <w:pPr>
        <w:numPr>
          <w:ilvl w:val="0"/>
          <w:numId w:val="1004"/>
        </w:numPr>
      </w:pPr>
      <w:r>
        <w:t xml:space="preserve">P405</w:t>
      </w:r>
      <w:r>
        <w:t xml:space="preserve"> </w:t>
      </w:r>
      <w:r>
        <w:t xml:space="preserve">Garder sous clef.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3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Classe 3</w:t>
      </w:r>
    </w:p>
    <w:p>
      <w:pPr>
        <w:pStyle w:val="Compact"/>
        <w:numPr>
          <w:ilvl w:val="0"/>
          <w:numId w:val="1005"/>
        </w:numPr>
      </w:pPr>
      <w:r>
        <w:t xml:space="preserve">IATA : Classe 3</w:t>
      </w:r>
    </w:p>
    <w:p>
      <w:pPr>
        <w:pStyle w:val="Compact"/>
        <w:numPr>
          <w:ilvl w:val="0"/>
          <w:numId w:val="1005"/>
        </w:numPr>
      </w:pPr>
      <w:r>
        <w:t xml:space="preserve">UN : 1987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les vêtements et chaussures contaminés.</w:t>
      </w:r>
      <w:r>
        <w:t xml:space="preserve"> </w:t>
      </w:r>
      <w:r>
        <w:t xml:space="preserve">Laver la zone touchée au savon avec une grande quantité d’eau.</w:t>
      </w:r>
      <w:r>
        <w:t xml:space="preserve"> </w:t>
      </w:r>
      <w:r>
        <w:t xml:space="preserve">Si les troubles persistent, consulter un médecin.</w:t>
      </w:r>
    </w:p>
    <w:p>
      <w:pPr>
        <w:pStyle w:val="BodyText"/>
      </w:pPr>
      <w:r>
        <w:t xml:space="preserve">eyes : Même de petites éclaboussures peuvent provoquer des lésions irréversibles et la cécité.</w:t>
      </w:r>
      <w:r>
        <w:t xml:space="preserve"> </w:t>
      </w:r>
      <w:r>
        <w:t xml:space="preserve">Protéger l’œil intact.</w:t>
      </w:r>
      <w:r>
        <w:t xml:space="preserve"> </w:t>
      </w:r>
      <w:r>
        <w:t xml:space="preserve">Retirer les lentilles de contact si possible.</w:t>
      </w:r>
      <w:r>
        <w:t xml:space="preserve"> </w:t>
      </w:r>
      <w:r>
        <w:t xml:space="preserve">Rincer abondamment à l’eau pendant au moins 15 min.</w:t>
      </w:r>
      <w:r>
        <w:t xml:space="preserve"> </w:t>
      </w:r>
      <w:r>
        <w:t xml:space="preserve">Continuer le rinçage durant le transport à l’hôpital.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ingestion : Se rincer la bouche à l’eau puis boire beaucoup d’eau.</w:t>
      </w:r>
      <w:r>
        <w:t xml:space="preserve"> </w:t>
      </w:r>
      <w:r>
        <w:t xml:space="preserve">Ne pas faire boire de lait ou de boissons alcoolisées.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Ne jamais faire avaler à une personne inconsciente.</w:t>
      </w:r>
      <w:r>
        <w:t xml:space="preserve"> </w:t>
      </w:r>
      <w:r>
        <w:t xml:space="preserve">Appeler un médecin.</w:t>
      </w:r>
    </w:p>
    <w:p>
      <w:pPr>
        <w:pStyle w:val="BodyText"/>
      </w:pPr>
      <w:r>
        <w:t xml:space="preserve">inhalation : Amener la victime à l’air libre.</w:t>
      </w:r>
      <w:r>
        <w:t xml:space="preserve"> </w:t>
      </w:r>
      <w:r>
        <w:t xml:space="preserve">Appeler un centre antipoison ou un médecin.</w:t>
      </w:r>
    </w:p>
    <w:p>
      <w:r>
        <w:br w:type="page"/>
      </w:r>
    </w:p>
    <w:bookmarkEnd w:id="40"/>
    <w:bookmarkStart w:id="63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51" w:name="propane-2-ol"/>
    <w:p>
      <w:pPr>
        <w:pStyle w:val="Heading3"/>
      </w:pPr>
      <w:r>
        <w:t xml:space="preserve">propane-2-ol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67-63-0</w:t>
      </w:r>
    </w:p>
    <w:p>
      <w:pPr>
        <w:pStyle w:val="Compact"/>
        <w:numPr>
          <w:ilvl w:val="0"/>
          <w:numId w:val="1006"/>
        </w:numPr>
      </w:pPr>
      <w:r>
        <w:t xml:space="preserve">N° EINECS : 200-661-7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30.0 to 50.0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50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1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08"/>
        </w:numPr>
      </w:pPr>
      <w:hyperlink r:id="rId4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0"/>
    <w:bookmarkEnd w:id="51"/>
    <w:bookmarkStart w:id="62" w:name="propane-1-ol"/>
    <w:p>
      <w:pPr>
        <w:pStyle w:val="Heading3"/>
      </w:pPr>
      <w:r>
        <w:t xml:space="preserve">propane-1-ol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71-23-8</w:t>
      </w:r>
    </w:p>
    <w:p>
      <w:pPr>
        <w:pStyle w:val="Compact"/>
        <w:numPr>
          <w:ilvl w:val="0"/>
          <w:numId w:val="1009"/>
        </w:numPr>
      </w:pPr>
      <w:r>
        <w:t xml:space="preserve">N° EINECS : 200-746-9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0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100.0 - VLE-8h (mg/m³) : 250.0</w:t>
            </w:r>
          </w:p>
        </w:tc>
      </w:tr>
    </w:tbl>
    <w:bookmarkStart w:id="61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52">
        <w:r>
          <w:rPr>
            <w:rStyle w:val="Hyperlink"/>
            <w:color w:val="0856A0"/>
            <w:u w:val="single"/>
          </w:rPr>
          <w:t xml:space="preserve">Fiche n°211 - Propan-1-ol</w:t>
        </w:r>
      </w:hyperlink>
    </w:p>
    <w:p>
      <w:pPr>
        <w:numPr>
          <w:ilvl w:val="0"/>
          <w:numId w:val="1011"/>
        </w:numPr>
      </w:pPr>
      <w:hyperlink r:id="rId5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1"/>
        </w:numPr>
      </w:pPr>
      <w:hyperlink r:id="rId5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1"/>
        </w:numPr>
      </w:pPr>
      <w:hyperlink r:id="rId5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1"/>
        </w:numPr>
      </w:pPr>
      <w:hyperlink r:id="rId56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1"/>
        </w:numPr>
      </w:pPr>
      <w:hyperlink r:id="rId5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1"/>
        </w:numPr>
      </w:pPr>
      <w:hyperlink r:id="rId5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1"/>
        </w:numPr>
      </w:pPr>
      <w:hyperlink r:id="rId5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1"/>
        </w:numPr>
      </w:pPr>
      <w:hyperlink r:id="rId6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1"/>
    <w:bookmarkEnd w:id="62"/>
    <w:bookmarkEnd w:id="63"/>
    <w:bookmarkStart w:id="64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64"/>
    <w:bookmarkStart w:id="65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respirer les vapeurs ou le brouillard de pulvérisation. - Éviter le contact avec la peau et les yeux. - Ne pas manger, fumer ou boire dans la zone de travail. - Éviter l’accumulation de charges électrostatiques. - Les récipients ne peuvent être ouverts que sous hotte d’extraction. - Ouvrir les fûts avec précaution, le contenu pouvant être sous pression. - Pour éviter les renversements pendant la manipulation, maintenir le flacon dans une cuvette métallique. - Utiliser un équipement à l’épreuve d’une explosion. - Éviter la formation d’aérosols. - Conserver à l’écart de toute flamme ou source d’étincelles – ne pas fumer. - Prendre des mesures pour éviter l’accumulation de charges électrostatiques. - Se laver les mains avant les pauses et à la fin de la journée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Entreposer dans un endroit frais. - Refermer soigneusement tout récipient entamé et le stocker verticalement afin d’éviter tout écoulement. - Les installations et le matériel électriques doivent être conformes aux normes techniques de sécurité. - Entreposer à température ambiante dans le récipient d’origine. - Pas de décomposition si le produit est entreposé et utilisé selon les prescriptions.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de la substance/du mélange : Produit biocide.</w:t>
            </w:r>
          </w:p>
        </w:tc>
      </w:tr>
    </w:tbl>
    <w:bookmarkEnd w:id="65"/>
    <w:bookmarkEnd w:id="66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52" Type="http://schemas.openxmlformats.org/officeDocument/2006/relationships/hyperlink" Target="https://www.inrs.fr/publications/bdd/fichetox/fiche.html?refINRS=FICHETOX_211" TargetMode="External"/><Relationship Id="rId55" Type="http://schemas.openxmlformats.org/officeDocument/2006/relationships/hyperlink" Target="https://www.inrs.fr/publications/bdd/fichetox/fiche.html?refINRS=FICHETOX_211&amp;section=VLEPMesurage" TargetMode="External"/><Relationship Id="rId60" Type="http://schemas.openxmlformats.org/officeDocument/2006/relationships/hyperlink" Target="https://www.inrs.fr/publications/bdd/fichetox/fiche.html?refINRS=FICHETOX_211&amp;section=bibliographieAuteurs" TargetMode="External"/><Relationship Id="rId54" Type="http://schemas.openxmlformats.org/officeDocument/2006/relationships/hyperlink" Target="https://www.inrs.fr/publications/bdd/fichetox/fiche.html?refINRS=FICHETOX_211&amp;section=caracteristiques" TargetMode="External"/><Relationship Id="rId53" Type="http://schemas.openxmlformats.org/officeDocument/2006/relationships/hyperlink" Target="https://www.inrs.fr/publications/bdd/fichetox/fiche.html?refINRS=FICHETOX_211&amp;section=generalites" TargetMode="External"/><Relationship Id="rId56" Type="http://schemas.openxmlformats.org/officeDocument/2006/relationships/hyperlink" Target="https://www.inrs.fr/publications/bdd/fichetox/fiche.html?refINRS=FICHETOX_211&amp;section=incendieExplosion" TargetMode="External"/><Relationship Id="rId57" Type="http://schemas.openxmlformats.org/officeDocument/2006/relationships/hyperlink" Target="https://www.inrs.fr/publications/bdd/fichetox/fiche.html?refINRS=FICHETOX_211&amp;section=pathologieToxicologie" TargetMode="External"/><Relationship Id="rId59" Type="http://schemas.openxmlformats.org/officeDocument/2006/relationships/hyperlink" Target="https://www.inrs.fr/publications/bdd/fichetox/fiche.html?refINRS=FICHETOX_211&amp;section=recommandations" TargetMode="External"/><Relationship Id="rId58" Type="http://schemas.openxmlformats.org/officeDocument/2006/relationships/hyperlink" Target="https://www.inrs.fr/publications/bdd/fichetox/fiche.html?refINRS=FICHETOX_211&amp;section=reglementation" TargetMode="External"/><Relationship Id="rId41" Type="http://schemas.openxmlformats.org/officeDocument/2006/relationships/hyperlink" Target="https://www.inrs.fr/publications/bdd/fichetox/fiche.html?refINRS=FICHETOX_66" TargetMode="External"/><Relationship Id="rId44" Type="http://schemas.openxmlformats.org/officeDocument/2006/relationships/hyperlink" Target="https://www.inrs.fr/publications/bdd/fichetox/fiche.html?refINRS=FICHETOX_66&amp;section=VLEPMesurage" TargetMode="External"/><Relationship Id="rId49" Type="http://schemas.openxmlformats.org/officeDocument/2006/relationships/hyperlink" Target="https://www.inrs.fr/publications/bdd/fichetox/fiche.html?refINRS=FICHETOX_66&amp;section=bibliographieAuteurs" TargetMode="External"/><Relationship Id="rId43" Type="http://schemas.openxmlformats.org/officeDocument/2006/relationships/hyperlink" Target="https://www.inrs.fr/publications/bdd/fichetox/fiche.html?refINRS=FICHETOX_66&amp;section=caracteristiques" TargetMode="External"/><Relationship Id="rId42" Type="http://schemas.openxmlformats.org/officeDocument/2006/relationships/hyperlink" Target="https://www.inrs.fr/publications/bdd/fichetox/fiche.html?refINRS=FICHETOX_66&amp;section=generalites" TargetMode="External"/><Relationship Id="rId45" Type="http://schemas.openxmlformats.org/officeDocument/2006/relationships/hyperlink" Target="https://www.inrs.fr/publications/bdd/fichetox/fiche.html?refINRS=FICHETOX_66&amp;section=incendieExplosion" TargetMode="External"/><Relationship Id="rId46" Type="http://schemas.openxmlformats.org/officeDocument/2006/relationships/hyperlink" Target="https://www.inrs.fr/publications/bdd/fichetox/fiche.html?refINRS=FICHETOX_66&amp;section=pathologieToxicologie" TargetMode="External"/><Relationship Id="rId48" Type="http://schemas.openxmlformats.org/officeDocument/2006/relationships/hyperlink" Target="https://www.inrs.fr/publications/bdd/fichetox/fiche.html?refINRS=FICHETOX_66&amp;section=recommandations" TargetMode="External"/><Relationship Id="rId47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52" Type="http://schemas.openxmlformats.org/officeDocument/2006/relationships/hyperlink" Target="https://www.inrs.fr/publications/bdd/fichetox/fiche.html?refINRS=FICHETOX_211" TargetMode="External"/><Relationship Id="rId55" Type="http://schemas.openxmlformats.org/officeDocument/2006/relationships/hyperlink" Target="https://www.inrs.fr/publications/bdd/fichetox/fiche.html?refINRS=FICHETOX_211&amp;section=VLEPMesurage" TargetMode="External"/><Relationship Id="rId60" Type="http://schemas.openxmlformats.org/officeDocument/2006/relationships/hyperlink" Target="https://www.inrs.fr/publications/bdd/fichetox/fiche.html?refINRS=FICHETOX_211&amp;section=bibliographieAuteurs" TargetMode="External"/><Relationship Id="rId54" Type="http://schemas.openxmlformats.org/officeDocument/2006/relationships/hyperlink" Target="https://www.inrs.fr/publications/bdd/fichetox/fiche.html?refINRS=FICHETOX_211&amp;section=caracteristiques" TargetMode="External"/><Relationship Id="rId53" Type="http://schemas.openxmlformats.org/officeDocument/2006/relationships/hyperlink" Target="https://www.inrs.fr/publications/bdd/fichetox/fiche.html?refINRS=FICHETOX_211&amp;section=generalites" TargetMode="External"/><Relationship Id="rId56" Type="http://schemas.openxmlformats.org/officeDocument/2006/relationships/hyperlink" Target="https://www.inrs.fr/publications/bdd/fichetox/fiche.html?refINRS=FICHETOX_211&amp;section=incendieExplosion" TargetMode="External"/><Relationship Id="rId57" Type="http://schemas.openxmlformats.org/officeDocument/2006/relationships/hyperlink" Target="https://www.inrs.fr/publications/bdd/fichetox/fiche.html?refINRS=FICHETOX_211&amp;section=pathologieToxicologie" TargetMode="External"/><Relationship Id="rId59" Type="http://schemas.openxmlformats.org/officeDocument/2006/relationships/hyperlink" Target="https://www.inrs.fr/publications/bdd/fichetox/fiche.html?refINRS=FICHETOX_211&amp;section=recommandations" TargetMode="External"/><Relationship Id="rId58" Type="http://schemas.openxmlformats.org/officeDocument/2006/relationships/hyperlink" Target="https://www.inrs.fr/publications/bdd/fichetox/fiche.html?refINRS=FICHETOX_211&amp;section=reglementation" TargetMode="External"/><Relationship Id="rId41" Type="http://schemas.openxmlformats.org/officeDocument/2006/relationships/hyperlink" Target="https://www.inrs.fr/publications/bdd/fichetox/fiche.html?refINRS=FICHETOX_66" TargetMode="External"/><Relationship Id="rId44" Type="http://schemas.openxmlformats.org/officeDocument/2006/relationships/hyperlink" Target="https://www.inrs.fr/publications/bdd/fichetox/fiche.html?refINRS=FICHETOX_66&amp;section=VLEPMesurage" TargetMode="External"/><Relationship Id="rId49" Type="http://schemas.openxmlformats.org/officeDocument/2006/relationships/hyperlink" Target="https://www.inrs.fr/publications/bdd/fichetox/fiche.html?refINRS=FICHETOX_66&amp;section=bibliographieAuteurs" TargetMode="External"/><Relationship Id="rId43" Type="http://schemas.openxmlformats.org/officeDocument/2006/relationships/hyperlink" Target="https://www.inrs.fr/publications/bdd/fichetox/fiche.html?refINRS=FICHETOX_66&amp;section=caracteristiques" TargetMode="External"/><Relationship Id="rId42" Type="http://schemas.openxmlformats.org/officeDocument/2006/relationships/hyperlink" Target="https://www.inrs.fr/publications/bdd/fichetox/fiche.html?refINRS=FICHETOX_66&amp;section=generalites" TargetMode="External"/><Relationship Id="rId45" Type="http://schemas.openxmlformats.org/officeDocument/2006/relationships/hyperlink" Target="https://www.inrs.fr/publications/bdd/fichetox/fiche.html?refINRS=FICHETOX_66&amp;section=incendieExplosion" TargetMode="External"/><Relationship Id="rId46" Type="http://schemas.openxmlformats.org/officeDocument/2006/relationships/hyperlink" Target="https://www.inrs.fr/publications/bdd/fichetox/fiche.html?refINRS=FICHETOX_66&amp;section=pathologieToxicologie" TargetMode="External"/><Relationship Id="rId48" Type="http://schemas.openxmlformats.org/officeDocument/2006/relationships/hyperlink" Target="https://www.inrs.fr/publications/bdd/fichetox/fiche.html?refINRS=FICHETOX_66&amp;section=recommandations" TargetMode="External"/><Relationship Id="rId47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2026-04-10T14:23:02Z</dcterms:created>
  <dcterms:modified xsi:type="dcterms:W3CDTF">2026-04-10T14:23:02Z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