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21284-42980-08832-015684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INFODYNE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2026-04-13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0.6.0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21284-42980-08832-015684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74" w:name="X0b0e9ca4ea257857087a13597e54856a5343ec5"/>
    <w:p>
      <w:pPr>
        <w:pStyle w:val="Heading1"/>
      </w:pPr>
      <w:r>
        <w:t xml:space="preserve">Analyse des dangers : 21284-42980-08832-015684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21284-42980-08832-015684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INFODYNE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 visqueux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gel hydro-alcoolique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6,0 - 8,0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Information not available in the document.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2026-04-09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2026-04-09. Elle a donc 0 an(s).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a identifié les erreurs de classification potentielles suivantes dans la FDS :</w:t>
      </w:r>
    </w:p>
    <w:p>
      <w:pPr>
        <w:pStyle w:val="Compact"/>
        <w:numPr>
          <w:ilvl w:val="0"/>
          <w:numId w:val="1003"/>
        </w:numPr>
      </w:pPr>
      <w:r>
        <w:t xml:space="preserve">La substance 2-AMINO-2-METHYLPROPANOL devrait être classée H315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2-AMINO-2-METHYLPROPANOL devrait être classée H319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2-AMINO-2-METHYLPROPANOL devrait être classée H412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PROPANE-2-OL devrait être classée H225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PROPANE-2-OL devrait être classée H319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PROPANE-2-OL devrait être classée H336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METHYLETHYL CETONE devrait être classée H225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METHYLETHYL CETONE devrait être classée H319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METHYLETHYL CETONE devrait être classée H336 selon les dernières classifications harmonisées publiées par l’ECHA</w:t>
      </w:r>
      <w:r>
        <w:br/>
      </w:r>
    </w:p>
    <w:p>
      <w:pPr>
        <w:pStyle w:val="Compact"/>
        <w:numPr>
          <w:ilvl w:val="0"/>
          <w:numId w:val="1003"/>
        </w:numPr>
      </w:pPr>
      <w:r>
        <w:t xml:space="preserve">La substance Ethanol devrait être classée H225 selon les dernières classifications harmonisées publiées par l’ECHA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4"/>
        </w:numPr>
      </w:pPr>
      <w:r>
        <w:t xml:space="preserve">ADR : Classe 3</w:t>
      </w:r>
    </w:p>
    <w:p>
      <w:pPr>
        <w:pStyle w:val="Compact"/>
        <w:numPr>
          <w:ilvl w:val="0"/>
          <w:numId w:val="1004"/>
        </w:numPr>
      </w:pPr>
      <w:r>
        <w:t xml:space="preserve">RID : Classe 3</w:t>
      </w:r>
    </w:p>
    <w:p>
      <w:pPr>
        <w:pStyle w:val="Compact"/>
        <w:numPr>
          <w:ilvl w:val="0"/>
          <w:numId w:val="1004"/>
        </w:numPr>
      </w:pPr>
      <w:r>
        <w:t xml:space="preserve">ADN : -</w:t>
      </w:r>
    </w:p>
    <w:p>
      <w:pPr>
        <w:pStyle w:val="Compact"/>
        <w:numPr>
          <w:ilvl w:val="0"/>
          <w:numId w:val="1004"/>
        </w:numPr>
      </w:pPr>
      <w:r>
        <w:t xml:space="preserve">IMDG : Classe 2</w:t>
      </w:r>
    </w:p>
    <w:p>
      <w:pPr>
        <w:pStyle w:val="Compact"/>
        <w:numPr>
          <w:ilvl w:val="0"/>
          <w:numId w:val="1004"/>
        </w:numPr>
      </w:pPr>
      <w:r>
        <w:t xml:space="preserve">IATA : Classe 2</w:t>
      </w:r>
    </w:p>
    <w:p>
      <w:pPr>
        <w:pStyle w:val="Compact"/>
        <w:numPr>
          <w:ilvl w:val="0"/>
          <w:numId w:val="1004"/>
        </w:numPr>
      </w:pPr>
      <w:r>
        <w:t xml:space="preserve">UN : 1993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skin : -</w:t>
      </w:r>
    </w:p>
    <w:p>
      <w:pPr>
        <w:pStyle w:val="BodyText"/>
      </w:pPr>
      <w:r>
        <w:t xml:space="preserve">eyes : -</w:t>
      </w:r>
    </w:p>
    <w:p>
      <w:pPr>
        <w:pStyle w:val="BodyText"/>
      </w:pPr>
      <w:r>
        <w:t xml:space="preserve">ingestion : -</w:t>
      </w:r>
    </w:p>
    <w:p>
      <w:pPr>
        <w:pStyle w:val="BodyText"/>
      </w:pPr>
      <w:r>
        <w:t xml:space="preserve">inhalation : -</w:t>
      </w:r>
    </w:p>
    <w:p>
      <w:r>
        <w:br w:type="page"/>
      </w:r>
    </w:p>
    <w:bookmarkEnd w:id="31"/>
    <w:bookmarkStart w:id="71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Start w:id="33" w:name="aminobutane-1-ol"/>
    <w:p>
      <w:pPr>
        <w:pStyle w:val="Heading3"/>
      </w:pPr>
      <w:r>
        <w:t xml:space="preserve">2-AMINOBUTANE-1-OL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5"/>
        </w:numPr>
      </w:pPr>
      <w:r>
        <w:t xml:space="preserve">N° CAS : 96-20-8</w:t>
      </w:r>
    </w:p>
    <w:p>
      <w:pPr>
        <w:pStyle w:val="Compact"/>
        <w:numPr>
          <w:ilvl w:val="0"/>
          <w:numId w:val="1005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:Unbounded range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2" w:name="propriétés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2"/>
    <w:bookmarkEnd w:id="33"/>
    <w:bookmarkStart w:id="35" w:name="amino-2-methylpropanol"/>
    <w:p>
      <w:pPr>
        <w:pStyle w:val="Heading3"/>
      </w:pPr>
      <w:r>
        <w:t xml:space="preserve">2-AMINO-2-METHYLPROPANOL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6"/>
        </w:numPr>
      </w:pPr>
      <w:r>
        <w:t xml:space="preserve">N° CAS : 124-68-5</w:t>
      </w:r>
    </w:p>
    <w:p>
      <w:pPr>
        <w:pStyle w:val="Compact"/>
        <w:numPr>
          <w:ilvl w:val="0"/>
          <w:numId w:val="1006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:Unbounded range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7"/>
        </w:numPr>
      </w:pPr>
      <w:r>
        <w:t xml:space="preserve">H315</w:t>
      </w:r>
      <w:r>
        <w:t xml:space="preserve"> </w:t>
      </w:r>
      <w:r>
        <w:t xml:space="preserve">Provoque une irritation cutanée.</w:t>
      </w:r>
    </w:p>
    <w:p>
      <w:pPr>
        <w:numPr>
          <w:ilvl w:val="0"/>
          <w:numId w:val="1007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7"/>
        </w:numPr>
      </w:pPr>
      <w:r>
        <w:t xml:space="preserve">H412</w:t>
      </w:r>
      <w:r>
        <w:t xml:space="preserve"> </w:t>
      </w:r>
      <w:r>
        <w:t xml:space="preserve">Nocif pour les organismes aquatiques, entraîne des effets néfastes à long terme.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</w:tbl>
    <w:bookmarkStart w:id="34" w:name="propriétés-1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34"/>
    <w:bookmarkEnd w:id="35"/>
    <w:bookmarkStart w:id="46" w:name="propane-2-ol"/>
    <w:p>
      <w:pPr>
        <w:pStyle w:val="Heading3"/>
      </w:pPr>
      <w:r>
        <w:t xml:space="preserve">PROPANE-2-OL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08"/>
        </w:numPr>
      </w:pPr>
      <w:r>
        <w:t xml:space="preserve">N° CAS : 67-63-0</w:t>
      </w:r>
    </w:p>
    <w:p>
      <w:pPr>
        <w:pStyle w:val="Compact"/>
        <w:numPr>
          <w:ilvl w:val="0"/>
          <w:numId w:val="1008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:Unbounded range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09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09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09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200.0 - VLE-8h (mg/m³) : 500.0 - VLE-15min (ppm) : 400.0 - VLE-15min (mg/m³) : 1000.0</w:t>
            </w:r>
          </w:p>
        </w:tc>
      </w:tr>
    </w:tbl>
    <w:bookmarkStart w:id="45" w:name="propriétés-2"/>
    <w:p>
      <w:pPr>
        <w:pStyle w:val="Heading4"/>
      </w:pPr>
      <w:r>
        <w:t xml:space="preserve">Propriétés</w:t>
      </w:r>
    </w:p>
    <w:p>
      <w:pPr>
        <w:pStyle w:val="FirstParagraph"/>
      </w:pPr>
      <w:hyperlink r:id="rId36">
        <w:r>
          <w:rPr>
            <w:rStyle w:val="Hyperlink"/>
            <w:color w:val="0856A0"/>
            <w:u w:val="single"/>
          </w:rPr>
          <w:t xml:space="preserve">Fiche n°66 - Propan-2-ol</w:t>
        </w:r>
      </w:hyperlink>
    </w:p>
    <w:p>
      <w:pPr>
        <w:numPr>
          <w:ilvl w:val="0"/>
          <w:numId w:val="1010"/>
        </w:numPr>
      </w:pPr>
      <w:hyperlink r:id="rId37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0"/>
        </w:numPr>
      </w:pPr>
      <w:hyperlink r:id="rId38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0"/>
        </w:numPr>
      </w:pPr>
      <w:hyperlink r:id="rId39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0"/>
        </w:numPr>
      </w:pPr>
      <w:hyperlink r:id="rId40">
        <w:r>
          <w:rPr>
            <w:rStyle w:val="Hyperlink"/>
            <w:color w:val="0856A0"/>
            <w:u w:val="single"/>
          </w:rPr>
          <w:t xml:space="preserve">Incendie - Explosion[16-18]</w:t>
        </w:r>
      </w:hyperlink>
    </w:p>
    <w:p>
      <w:pPr>
        <w:numPr>
          <w:ilvl w:val="0"/>
          <w:numId w:val="1010"/>
        </w:numPr>
      </w:pPr>
      <w:hyperlink r:id="rId41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0"/>
        </w:numPr>
      </w:pPr>
      <w:hyperlink r:id="rId42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0"/>
        </w:numPr>
      </w:pPr>
      <w:hyperlink r:id="rId43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0"/>
        </w:numPr>
      </w:pPr>
      <w:hyperlink r:id="rId44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45"/>
    <w:bookmarkEnd w:id="46"/>
    <w:bookmarkStart w:id="57" w:name="methylethyl-cetone"/>
    <w:p>
      <w:pPr>
        <w:pStyle w:val="Heading3"/>
      </w:pPr>
      <w:r>
        <w:t xml:space="preserve">METHYLETHYL CETONE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1"/>
        </w:numPr>
      </w:pPr>
      <w:r>
        <w:t xml:space="preserve">N° CAS : 78-93-3</w:t>
      </w:r>
    </w:p>
    <w:p>
      <w:pPr>
        <w:pStyle w:val="Compact"/>
        <w:numPr>
          <w:ilvl w:val="0"/>
          <w:numId w:val="1011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:Unbounded range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numPr>
          <w:ilvl w:val="0"/>
          <w:numId w:val="1012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numPr>
          <w:ilvl w:val="0"/>
          <w:numId w:val="1012"/>
        </w:numPr>
      </w:pPr>
      <w:r>
        <w:t xml:space="preserve">H319</w:t>
      </w:r>
      <w:r>
        <w:t xml:space="preserve"> </w:t>
      </w:r>
      <w:r>
        <w:t xml:space="preserve">Provoque une sévère irritation des yeux.</w:t>
      </w:r>
    </w:p>
    <w:p>
      <w:pPr>
        <w:numPr>
          <w:ilvl w:val="0"/>
          <w:numId w:val="1012"/>
        </w:numPr>
      </w:pPr>
      <w:r>
        <w:t xml:space="preserve">H336</w:t>
      </w:r>
      <w:r>
        <w:t xml:space="preserve"> </w:t>
      </w:r>
      <w:r>
        <w:t xml:space="preserve">Peut provoquer somnolence ou vertiges.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200.0 - VLE-8h (mg/m³) : 600.0 - VLE-15min (ppm) : 300.0 - VLE-15min (mg/m³) : 900.0</w:t>
            </w:r>
          </w:p>
        </w:tc>
      </w:tr>
    </w:tbl>
    <w:bookmarkStart w:id="56" w:name="propriétés-3"/>
    <w:p>
      <w:pPr>
        <w:pStyle w:val="Heading4"/>
      </w:pPr>
      <w:r>
        <w:t xml:space="preserve">Propriétés</w:t>
      </w:r>
    </w:p>
    <w:p>
      <w:pPr>
        <w:pStyle w:val="FirstParagraph"/>
      </w:pPr>
      <w:hyperlink r:id="rId47">
        <w:r>
          <w:rPr>
            <w:rStyle w:val="Hyperlink"/>
            <w:color w:val="0856A0"/>
            <w:u w:val="single"/>
          </w:rPr>
          <w:t xml:space="preserve">Fiche n°14 - Butanone ou Méthyléthylcétone</w:t>
        </w:r>
      </w:hyperlink>
    </w:p>
    <w:p>
      <w:pPr>
        <w:numPr>
          <w:ilvl w:val="0"/>
          <w:numId w:val="1013"/>
        </w:numPr>
      </w:pPr>
      <w:hyperlink r:id="rId48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3"/>
        </w:numPr>
      </w:pPr>
      <w:hyperlink r:id="rId49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3"/>
        </w:numPr>
      </w:pPr>
      <w:hyperlink r:id="rId50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3"/>
        </w:numPr>
      </w:pPr>
      <w:hyperlink r:id="rId51">
        <w:r>
          <w:rPr>
            <w:rStyle w:val="Hyperlink"/>
            <w:color w:val="0856A0"/>
            <w:u w:val="single"/>
          </w:rPr>
          <w:t xml:space="preserve">Incendie - Explosion[5, 6, 9, 10, 21-23]</w:t>
        </w:r>
      </w:hyperlink>
    </w:p>
    <w:p>
      <w:pPr>
        <w:numPr>
          <w:ilvl w:val="0"/>
          <w:numId w:val="1013"/>
        </w:numPr>
      </w:pPr>
      <w:hyperlink r:id="rId52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3"/>
        </w:numPr>
      </w:pPr>
      <w:hyperlink r:id="rId53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3"/>
        </w:numPr>
      </w:pPr>
      <w:hyperlink r:id="rId54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3"/>
        </w:numPr>
      </w:pPr>
      <w:hyperlink r:id="rId55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56"/>
    <w:bookmarkEnd w:id="57"/>
    <w:bookmarkStart w:id="59" w:name="glycerol"/>
    <w:p>
      <w:pPr>
        <w:pStyle w:val="Heading3"/>
      </w:pPr>
      <w:r>
        <w:t xml:space="preserve">Glycerol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4"/>
        </w:numPr>
      </w:pPr>
      <w:r>
        <w:t xml:space="preserve">N° CAS : 56-81-5</w:t>
      </w:r>
    </w:p>
    <w:p>
      <w:pPr>
        <w:pStyle w:val="Compact"/>
        <w:numPr>
          <w:ilvl w:val="0"/>
          <w:numId w:val="1014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:Unbounded range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(mg/m³) : 10.0</w:t>
            </w:r>
          </w:p>
        </w:tc>
      </w:tr>
    </w:tbl>
    <w:bookmarkStart w:id="58" w:name="propriétés-4"/>
    <w:p>
      <w:pPr>
        <w:pStyle w:val="Heading4"/>
      </w:pPr>
      <w:r>
        <w:t xml:space="preserve">Propriétés</w:t>
      </w:r>
    </w:p>
    <w:p>
      <w:pPr>
        <w:pStyle w:val="FirstParagraph"/>
      </w:pPr>
      <w:r>
        <w:t xml:space="preserve">Pas d’informations disponible.</w:t>
      </w:r>
    </w:p>
    <w:bookmarkEnd w:id="58"/>
    <w:bookmarkEnd w:id="59"/>
    <w:bookmarkStart w:id="70" w:name="ethanol"/>
    <w:p>
      <w:pPr>
        <w:pStyle w:val="Heading3"/>
      </w:pPr>
      <w:r>
        <w:t xml:space="preserve">Ethanol</w:t>
      </w:r>
    </w:p>
    <w:p>
      <w:pPr>
        <w:pStyle w:val="FirstParagraph"/>
      </w:pPr>
      <w:r>
        <w:rPr>
          <w:b/>
          <w:bCs/>
        </w:rPr>
        <w:t xml:space="preserve">Identification</w:t>
      </w:r>
    </w:p>
    <w:p>
      <w:pPr>
        <w:pStyle w:val="Compact"/>
        <w:numPr>
          <w:ilvl w:val="0"/>
          <w:numId w:val="1015"/>
        </w:numPr>
      </w:pPr>
      <w:r>
        <w:t xml:space="preserve">N° CAS : 64-17-5</w:t>
      </w:r>
    </w:p>
    <w:p>
      <w:pPr>
        <w:pStyle w:val="Compact"/>
        <w:numPr>
          <w:ilvl w:val="0"/>
          <w:numId w:val="1015"/>
        </w:numPr>
      </w:pPr>
      <w:r>
        <w:t xml:space="preserve">N° EINECS : None</w:t>
      </w:r>
    </w:p>
    <w:p>
      <w:pPr>
        <w:pStyle w:val="FirstParagraph"/>
      </w:pPr>
      <w:r>
        <w:rPr>
          <w:b/>
          <w:bCs/>
        </w:rPr>
        <w:t xml:space="preserve">Concentration</w:t>
      </w:r>
      <w:r>
        <w:t xml:space="preserve"> </w:t>
      </w:r>
      <w:r>
        <w:t xml:space="preserve">:Unbounded range</w:t>
      </w:r>
    </w:p>
    <w:p>
      <w:pPr>
        <w:pStyle w:val="BodyText"/>
      </w:pPr>
      <w:r>
        <w:rPr>
          <w:b/>
          <w:bCs/>
        </w:rPr>
        <w:t xml:space="preserve">Dangers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16"/>
        </w:numPr>
      </w:pPr>
      <w:r>
        <w:t xml:space="preserve">H225</w:t>
      </w:r>
      <w:r>
        <w:t xml:space="preserve"> </w:t>
      </w:r>
      <w:r>
        <w:t xml:space="preserve">Liquide et vapeurs très inflammables.</w:t>
      </w:r>
    </w:p>
    <w:p>
      <w:pPr>
        <w:pStyle w:val="FirstParagraph"/>
      </w:pPr>
      <w:r>
        <w:rPr>
          <w:b/>
          <w:bCs/>
        </w:rPr>
        <w:t xml:space="preserve">Réglementation &amp; Valeurs limites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897"/>
        <w:gridCol w:w="3022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Réglementation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Présence / 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Classé CMR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XVII (restrictions)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REACH Annexe XIV (autorisation)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Règlement POP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Non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RPB (Biocides)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Seveso (phrases H pertinentes)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Oui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 – Code du Bien-être au travail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VLE-8h (ppm) : 1000.0 - VLE-8h (mg/m³) : 1907.0</w:t>
            </w:r>
          </w:p>
        </w:tc>
      </w:tr>
    </w:tbl>
    <w:bookmarkStart w:id="69" w:name="propriétés-5"/>
    <w:p>
      <w:pPr>
        <w:pStyle w:val="Heading4"/>
      </w:pPr>
      <w:r>
        <w:t xml:space="preserve">Propriétés</w:t>
      </w:r>
    </w:p>
    <w:p>
      <w:pPr>
        <w:pStyle w:val="FirstParagraph"/>
      </w:pPr>
      <w:hyperlink r:id="rId60">
        <w:r>
          <w:rPr>
            <w:rStyle w:val="Hyperlink"/>
            <w:color w:val="0856A0"/>
            <w:u w:val="single"/>
          </w:rPr>
          <w:t xml:space="preserve">Fiche n°48 - Éthanol</w:t>
        </w:r>
      </w:hyperlink>
    </w:p>
    <w:p>
      <w:pPr>
        <w:numPr>
          <w:ilvl w:val="0"/>
          <w:numId w:val="1017"/>
        </w:numPr>
      </w:pPr>
      <w:hyperlink r:id="rId61">
        <w:r>
          <w:rPr>
            <w:rStyle w:val="Hyperlink"/>
            <w:color w:val="0856A0"/>
            <w:u w:val="single"/>
          </w:rPr>
          <w:t xml:space="preserve">Généralités</w:t>
        </w:r>
      </w:hyperlink>
    </w:p>
    <w:p>
      <w:pPr>
        <w:numPr>
          <w:ilvl w:val="0"/>
          <w:numId w:val="1017"/>
        </w:numPr>
      </w:pPr>
      <w:hyperlink r:id="rId62">
        <w:r>
          <w:rPr>
            <w:rStyle w:val="Hyperlink"/>
            <w:color w:val="0856A0"/>
            <w:u w:val="single"/>
          </w:rPr>
          <w:t xml:space="preserve">Caractéristiques</w:t>
        </w:r>
      </w:hyperlink>
    </w:p>
    <w:p>
      <w:pPr>
        <w:numPr>
          <w:ilvl w:val="0"/>
          <w:numId w:val="1017"/>
        </w:numPr>
      </w:pPr>
      <w:hyperlink r:id="rId63">
        <w:r>
          <w:rPr>
            <w:rStyle w:val="Hyperlink"/>
            <w:color w:val="0856A0"/>
            <w:u w:val="single"/>
          </w:rPr>
          <w:t xml:space="preserve">VLEPMesurage</w:t>
        </w:r>
      </w:hyperlink>
    </w:p>
    <w:p>
      <w:pPr>
        <w:numPr>
          <w:ilvl w:val="0"/>
          <w:numId w:val="1017"/>
        </w:numPr>
      </w:pPr>
      <w:hyperlink r:id="rId64">
        <w:r>
          <w:rPr>
            <w:rStyle w:val="Hyperlink"/>
            <w:color w:val="0856A0"/>
            <w:u w:val="single"/>
          </w:rPr>
          <w:t xml:space="preserve">Incendie - Explosion[2, 9, 17-19]</w:t>
        </w:r>
      </w:hyperlink>
    </w:p>
    <w:p>
      <w:pPr>
        <w:numPr>
          <w:ilvl w:val="0"/>
          <w:numId w:val="1017"/>
        </w:numPr>
      </w:pPr>
      <w:hyperlink r:id="rId65">
        <w:r>
          <w:rPr>
            <w:rStyle w:val="Hyperlink"/>
            <w:color w:val="0856A0"/>
            <w:u w:val="single"/>
          </w:rPr>
          <w:t xml:space="preserve">Pathologie - Toxicologie</w:t>
        </w:r>
      </w:hyperlink>
    </w:p>
    <w:p>
      <w:pPr>
        <w:numPr>
          <w:ilvl w:val="0"/>
          <w:numId w:val="1017"/>
        </w:numPr>
      </w:pPr>
      <w:hyperlink r:id="rId66">
        <w:r>
          <w:rPr>
            <w:rStyle w:val="Hyperlink"/>
            <w:color w:val="0856A0"/>
            <w:u w:val="single"/>
          </w:rPr>
          <w:t xml:space="preserve">Règlementation</w:t>
        </w:r>
      </w:hyperlink>
    </w:p>
    <w:p>
      <w:pPr>
        <w:numPr>
          <w:ilvl w:val="0"/>
          <w:numId w:val="1017"/>
        </w:numPr>
      </w:pPr>
      <w:hyperlink r:id="rId67">
        <w:r>
          <w:rPr>
            <w:rStyle w:val="Hyperlink"/>
            <w:color w:val="0856A0"/>
            <w:u w:val="single"/>
          </w:rPr>
          <w:t xml:space="preserve">Recommandations</w:t>
        </w:r>
      </w:hyperlink>
    </w:p>
    <w:p>
      <w:pPr>
        <w:numPr>
          <w:ilvl w:val="0"/>
          <w:numId w:val="1017"/>
        </w:numPr>
      </w:pPr>
      <w:hyperlink r:id="rId68">
        <w:r>
          <w:rPr>
            <w:rStyle w:val="Hyperlink"/>
            <w:color w:val="0856A0"/>
            <w:u w:val="single"/>
          </w:rPr>
          <w:t xml:space="preserve">Bibliographie</w:t>
        </w:r>
      </w:hyperlink>
    </w:p>
    <w:bookmarkEnd w:id="69"/>
    <w:bookmarkEnd w:id="70"/>
    <w:bookmarkEnd w:id="71"/>
    <w:bookmarkStart w:id="72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auto" w:w="0"/>
        <w:jc w:val="lef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autofit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</w:t>
            </w:r>
          </w:p>
        </w:tc>
      </w:tr>
    </w:tbl>
    <w:bookmarkEnd w:id="72"/>
    <w:bookmarkStart w:id="73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Ne pas utiliser le mélange à haute température sur des surfaces métalliques (brûleurs, arcs électriques, fours, etc.) ; ces surfaces doivent être bannies des locaux. - Éviter l’accumulation de charges électrostatiques, l’échauffement, la chaleur, les flammes et les surfaces chaudes. - Ne pas utiliser le mélange à d’autres fins que celles spécifiées dans la rubrique 1 sans avoir obtenu au préalable des instructions de manipulation écrites. - Prendre toutes les mesures nécessaires pour répondre aux exigences des lois et réglementations en vigueur.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de stockage sûr : - Éviter les surfaces métalliques chaudes (brûleurs, arcs électriques, fours, etc.). - Éviter l’accumulation de charges électrostatiques. - Éviter l’échauffement, la chaleur, les flammes et les surfaces chaudes. Incompatibilités à éviter : - Matières comburantes.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Information not available in the document.</w:t>
            </w:r>
          </w:p>
        </w:tc>
      </w:tr>
    </w:tbl>
    <w:bookmarkEnd w:id="73"/>
    <w:bookmarkEnd w:id="74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  <w:num w:numId="1012">
    <w:abstractNumId w:val="991"/>
  </w:num>
  <w:num w:numId="1013">
    <w:abstractNumId w:val="991"/>
  </w:num>
  <w:num w:numId="1014">
    <w:abstractNumId w:val="991"/>
  </w:num>
  <w:num w:numId="1015">
    <w:abstractNumId w:val="991"/>
  </w:num>
  <w:num w:numId="1016">
    <w:abstractNumId w:val="991"/>
  </w:num>
  <w:num w:numId="1017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6148BD"/>
    <w:rsid w:val="00666DED"/>
    <w:rsid w:val="008165A3"/>
    <w:rsid w:val="00860E1D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Relationship Id="rId47" Type="http://schemas.openxmlformats.org/officeDocument/2006/relationships/hyperlink" Target="https://www.inrs.fr/publications/bdd/fichetox/fiche.html?refINRS=FICHETOX_14" TargetMode="External"/><Relationship Id="rId50" Type="http://schemas.openxmlformats.org/officeDocument/2006/relationships/hyperlink" Target="https://www.inrs.fr/publications/bdd/fichetox/fiche.html?refINRS=FICHETOX_14&amp;section=VLEPMesurage" TargetMode="External"/><Relationship Id="rId55" Type="http://schemas.openxmlformats.org/officeDocument/2006/relationships/hyperlink" Target="https://www.inrs.fr/publications/bdd/fichetox/fiche.html?refINRS=FICHETOX_14&amp;section=bibliographieAuteurs" TargetMode="External"/><Relationship Id="rId49" Type="http://schemas.openxmlformats.org/officeDocument/2006/relationships/hyperlink" Target="https://www.inrs.fr/publications/bdd/fichetox/fiche.html?refINRS=FICHETOX_14&amp;section=caracteristiques" TargetMode="External"/><Relationship Id="rId48" Type="http://schemas.openxmlformats.org/officeDocument/2006/relationships/hyperlink" Target="https://www.inrs.fr/publications/bdd/fichetox/fiche.html?refINRS=FICHETOX_14&amp;section=generalites" TargetMode="External"/><Relationship Id="rId51" Type="http://schemas.openxmlformats.org/officeDocument/2006/relationships/hyperlink" Target="https://www.inrs.fr/publications/bdd/fichetox/fiche.html?refINRS=FICHETOX_14&amp;section=incendieExplosion" TargetMode="External"/><Relationship Id="rId52" Type="http://schemas.openxmlformats.org/officeDocument/2006/relationships/hyperlink" Target="https://www.inrs.fr/publications/bdd/fichetox/fiche.html?refINRS=FICHETOX_14&amp;section=pathologieToxicologie" TargetMode="External"/><Relationship Id="rId54" Type="http://schemas.openxmlformats.org/officeDocument/2006/relationships/hyperlink" Target="https://www.inrs.fr/publications/bdd/fichetox/fiche.html?refINRS=FICHETOX_14&amp;section=recommandations" TargetMode="External"/><Relationship Id="rId53" Type="http://schemas.openxmlformats.org/officeDocument/2006/relationships/hyperlink" Target="https://www.inrs.fr/publications/bdd/fichetox/fiche.html?refINRS=FICHETOX_14&amp;section=reglementation" TargetMode="External"/><Relationship Id="rId60" Type="http://schemas.openxmlformats.org/officeDocument/2006/relationships/hyperlink" Target="https://www.inrs.fr/publications/bdd/fichetox/fiche.html?refINRS=FICHETOX_48" TargetMode="External"/><Relationship Id="rId63" Type="http://schemas.openxmlformats.org/officeDocument/2006/relationships/hyperlink" Target="https://www.inrs.fr/publications/bdd/fichetox/fiche.html?refINRS=FICHETOX_48&amp;section=VLEPMesurage" TargetMode="External"/><Relationship Id="rId68" Type="http://schemas.openxmlformats.org/officeDocument/2006/relationships/hyperlink" Target="https://www.inrs.fr/publications/bdd/fichetox/fiche.html?refINRS=FICHETOX_48&amp;section=bibliographieAuteurs" TargetMode="External"/><Relationship Id="rId62" Type="http://schemas.openxmlformats.org/officeDocument/2006/relationships/hyperlink" Target="https://www.inrs.fr/publications/bdd/fichetox/fiche.html?refINRS=FICHETOX_48&amp;section=caracteristiques" TargetMode="External"/><Relationship Id="rId61" Type="http://schemas.openxmlformats.org/officeDocument/2006/relationships/hyperlink" Target="https://www.inrs.fr/publications/bdd/fichetox/fiche.html?refINRS=FICHETOX_48&amp;section=generalites" TargetMode="External"/><Relationship Id="rId64" Type="http://schemas.openxmlformats.org/officeDocument/2006/relationships/hyperlink" Target="https://www.inrs.fr/publications/bdd/fichetox/fiche.html?refINRS=FICHETOX_48&amp;section=incendieExplosion" TargetMode="External"/><Relationship Id="rId65" Type="http://schemas.openxmlformats.org/officeDocument/2006/relationships/hyperlink" Target="https://www.inrs.fr/publications/bdd/fichetox/fiche.html?refINRS=FICHETOX_48&amp;section=pathologieToxicologie" TargetMode="External"/><Relationship Id="rId67" Type="http://schemas.openxmlformats.org/officeDocument/2006/relationships/hyperlink" Target="https://www.inrs.fr/publications/bdd/fichetox/fiche.html?refINRS=FICHETOX_48&amp;section=recommandations" TargetMode="External"/><Relationship Id="rId66" Type="http://schemas.openxmlformats.org/officeDocument/2006/relationships/hyperlink" Target="https://www.inrs.fr/publications/bdd/fichetox/fiche.html?refINRS=FICHETOX_48&amp;section=reglementation" TargetMode="External"/><Relationship Id="rId36" Type="http://schemas.openxmlformats.org/officeDocument/2006/relationships/hyperlink" Target="https://www.inrs.fr/publications/bdd/fichetox/fiche.html?refINRS=FICHETOX_66" TargetMode="External"/><Relationship Id="rId39" Type="http://schemas.openxmlformats.org/officeDocument/2006/relationships/hyperlink" Target="https://www.inrs.fr/publications/bdd/fichetox/fiche.html?refINRS=FICHETOX_66&amp;section=VLEPMesurage" TargetMode="External"/><Relationship Id="rId44" Type="http://schemas.openxmlformats.org/officeDocument/2006/relationships/hyperlink" Target="https://www.inrs.fr/publications/bdd/fichetox/fiche.html?refINRS=FICHETOX_66&amp;section=bibliographieAuteurs" TargetMode="External"/><Relationship Id="rId38" Type="http://schemas.openxmlformats.org/officeDocument/2006/relationships/hyperlink" Target="https://www.inrs.fr/publications/bdd/fichetox/fiche.html?refINRS=FICHETOX_66&amp;section=caracteristiques" TargetMode="External"/><Relationship Id="rId37" Type="http://schemas.openxmlformats.org/officeDocument/2006/relationships/hyperlink" Target="https://www.inrs.fr/publications/bdd/fichetox/fiche.html?refINRS=FICHETOX_66&amp;section=generalites" TargetMode="External"/><Relationship Id="rId40" Type="http://schemas.openxmlformats.org/officeDocument/2006/relationships/hyperlink" Target="https://www.inrs.fr/publications/bdd/fichetox/fiche.html?refINRS=FICHETOX_66&amp;section=incendieExplosion" TargetMode="External"/><Relationship Id="rId41" Type="http://schemas.openxmlformats.org/officeDocument/2006/relationships/hyperlink" Target="https://www.inrs.fr/publications/bdd/fichetox/fiche.html?refINRS=FICHETOX_66&amp;section=pathologieToxicologie" TargetMode="External"/><Relationship Id="rId43" Type="http://schemas.openxmlformats.org/officeDocument/2006/relationships/hyperlink" Target="https://www.inrs.fr/publications/bdd/fichetox/fiche.html?refINRS=FICHETOX_66&amp;section=recommandations" TargetMode="External"/><Relationship Id="rId42" Type="http://schemas.openxmlformats.org/officeDocument/2006/relationships/hyperlink" Target="https://www.inrs.fr/publications/bdd/fichetox/fiche.html?refINRS=FICHETOX_66&amp;section=reglementation" TargetMode="External"/></Relationships>
</file>

<file path=word/_rels/footnotes.xml.rels><?xml version='1.0' encoding='UTF-8' standalone='yes'?>
<Relationships xmlns="http://schemas.openxmlformats.org/package/2006/relationships"><Relationship Id="rId47" Type="http://schemas.openxmlformats.org/officeDocument/2006/relationships/hyperlink" Target="https://www.inrs.fr/publications/bdd/fichetox/fiche.html?refINRS=FICHETOX_14" TargetMode="External"/><Relationship Id="rId50" Type="http://schemas.openxmlformats.org/officeDocument/2006/relationships/hyperlink" Target="https://www.inrs.fr/publications/bdd/fichetox/fiche.html?refINRS=FICHETOX_14&amp;section=VLEPMesurage" TargetMode="External"/><Relationship Id="rId55" Type="http://schemas.openxmlformats.org/officeDocument/2006/relationships/hyperlink" Target="https://www.inrs.fr/publications/bdd/fichetox/fiche.html?refINRS=FICHETOX_14&amp;section=bibliographieAuteurs" TargetMode="External"/><Relationship Id="rId49" Type="http://schemas.openxmlformats.org/officeDocument/2006/relationships/hyperlink" Target="https://www.inrs.fr/publications/bdd/fichetox/fiche.html?refINRS=FICHETOX_14&amp;section=caracteristiques" TargetMode="External"/><Relationship Id="rId48" Type="http://schemas.openxmlformats.org/officeDocument/2006/relationships/hyperlink" Target="https://www.inrs.fr/publications/bdd/fichetox/fiche.html?refINRS=FICHETOX_14&amp;section=generalites" TargetMode="External"/><Relationship Id="rId51" Type="http://schemas.openxmlformats.org/officeDocument/2006/relationships/hyperlink" Target="https://www.inrs.fr/publications/bdd/fichetox/fiche.html?refINRS=FICHETOX_14&amp;section=incendieExplosion" TargetMode="External"/><Relationship Id="rId52" Type="http://schemas.openxmlformats.org/officeDocument/2006/relationships/hyperlink" Target="https://www.inrs.fr/publications/bdd/fichetox/fiche.html?refINRS=FICHETOX_14&amp;section=pathologieToxicologie" TargetMode="External"/><Relationship Id="rId54" Type="http://schemas.openxmlformats.org/officeDocument/2006/relationships/hyperlink" Target="https://www.inrs.fr/publications/bdd/fichetox/fiche.html?refINRS=FICHETOX_14&amp;section=recommandations" TargetMode="External"/><Relationship Id="rId53" Type="http://schemas.openxmlformats.org/officeDocument/2006/relationships/hyperlink" Target="https://www.inrs.fr/publications/bdd/fichetox/fiche.html?refINRS=FICHETOX_14&amp;section=reglementation" TargetMode="External"/><Relationship Id="rId60" Type="http://schemas.openxmlformats.org/officeDocument/2006/relationships/hyperlink" Target="https://www.inrs.fr/publications/bdd/fichetox/fiche.html?refINRS=FICHETOX_48" TargetMode="External"/><Relationship Id="rId63" Type="http://schemas.openxmlformats.org/officeDocument/2006/relationships/hyperlink" Target="https://www.inrs.fr/publications/bdd/fichetox/fiche.html?refINRS=FICHETOX_48&amp;section=VLEPMesurage" TargetMode="External"/><Relationship Id="rId68" Type="http://schemas.openxmlformats.org/officeDocument/2006/relationships/hyperlink" Target="https://www.inrs.fr/publications/bdd/fichetox/fiche.html?refINRS=FICHETOX_48&amp;section=bibliographieAuteurs" TargetMode="External"/><Relationship Id="rId62" Type="http://schemas.openxmlformats.org/officeDocument/2006/relationships/hyperlink" Target="https://www.inrs.fr/publications/bdd/fichetox/fiche.html?refINRS=FICHETOX_48&amp;section=caracteristiques" TargetMode="External"/><Relationship Id="rId61" Type="http://schemas.openxmlformats.org/officeDocument/2006/relationships/hyperlink" Target="https://www.inrs.fr/publications/bdd/fichetox/fiche.html?refINRS=FICHETOX_48&amp;section=generalites" TargetMode="External"/><Relationship Id="rId64" Type="http://schemas.openxmlformats.org/officeDocument/2006/relationships/hyperlink" Target="https://www.inrs.fr/publications/bdd/fichetox/fiche.html?refINRS=FICHETOX_48&amp;section=incendieExplosion" TargetMode="External"/><Relationship Id="rId65" Type="http://schemas.openxmlformats.org/officeDocument/2006/relationships/hyperlink" Target="https://www.inrs.fr/publications/bdd/fichetox/fiche.html?refINRS=FICHETOX_48&amp;section=pathologieToxicologie" TargetMode="External"/><Relationship Id="rId67" Type="http://schemas.openxmlformats.org/officeDocument/2006/relationships/hyperlink" Target="https://www.inrs.fr/publications/bdd/fichetox/fiche.html?refINRS=FICHETOX_48&amp;section=recommandations" TargetMode="External"/><Relationship Id="rId66" Type="http://schemas.openxmlformats.org/officeDocument/2006/relationships/hyperlink" Target="https://www.inrs.fr/publications/bdd/fichetox/fiche.html?refINRS=FICHETOX_48&amp;section=reglementation" TargetMode="External"/><Relationship Id="rId36" Type="http://schemas.openxmlformats.org/officeDocument/2006/relationships/hyperlink" Target="https://www.inrs.fr/publications/bdd/fichetox/fiche.html?refINRS=FICHETOX_66" TargetMode="External"/><Relationship Id="rId39" Type="http://schemas.openxmlformats.org/officeDocument/2006/relationships/hyperlink" Target="https://www.inrs.fr/publications/bdd/fichetox/fiche.html?refINRS=FICHETOX_66&amp;section=VLEPMesurage" TargetMode="External"/><Relationship Id="rId44" Type="http://schemas.openxmlformats.org/officeDocument/2006/relationships/hyperlink" Target="https://www.inrs.fr/publications/bdd/fichetox/fiche.html?refINRS=FICHETOX_66&amp;section=bibliographieAuteurs" TargetMode="External"/><Relationship Id="rId38" Type="http://schemas.openxmlformats.org/officeDocument/2006/relationships/hyperlink" Target="https://www.inrs.fr/publications/bdd/fichetox/fiche.html?refINRS=FICHETOX_66&amp;section=caracteristiques" TargetMode="External"/><Relationship Id="rId37" Type="http://schemas.openxmlformats.org/officeDocument/2006/relationships/hyperlink" Target="https://www.inrs.fr/publications/bdd/fichetox/fiche.html?refINRS=FICHETOX_66&amp;section=generalites" TargetMode="External"/><Relationship Id="rId40" Type="http://schemas.openxmlformats.org/officeDocument/2006/relationships/hyperlink" Target="https://www.inrs.fr/publications/bdd/fichetox/fiche.html?refINRS=FICHETOX_66&amp;section=incendieExplosion" TargetMode="External"/><Relationship Id="rId41" Type="http://schemas.openxmlformats.org/officeDocument/2006/relationships/hyperlink" Target="https://www.inrs.fr/publications/bdd/fichetox/fiche.html?refINRS=FICHETOX_66&amp;section=pathologieToxicologie" TargetMode="External"/><Relationship Id="rId43" Type="http://schemas.openxmlformats.org/officeDocument/2006/relationships/hyperlink" Target="https://www.inrs.fr/publications/bdd/fichetox/fiche.html?refINRS=FICHETOX_66&amp;section=recommandations" TargetMode="External"/><Relationship Id="rId42" Type="http://schemas.openxmlformats.org/officeDocument/2006/relationships/hyperlink" Target="https://www.inrs.fr/publications/bdd/fichetox/fiche.html?refINRS=FICHETOX_66&amp;section=reglementati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129</Characters>
  <Application>Microsoft Office Word</Application>
  <DocSecurity>0</DocSecurity>
  <Lines>11</Lines>
  <Paragraphs>13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2026-04-13T06:44:08Z</dcterms:created>
  <dcterms:modified xsi:type="dcterms:W3CDTF">2026-04-13T06:44:08Z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