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violetcristal-101603lln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KGaA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violetcristal-101603lln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Xacce5418ae98d46bd0335a1e34da93ab3074697"/>
    <w:p>
      <w:pPr>
        <w:pStyle w:val="Heading1"/>
      </w:pPr>
      <w:r>
        <w:t xml:space="preserve">Analyse des dangers : violetcristal-101603lln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violetcristal-101603lln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KGaA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solution 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5,4 - 6,0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pour diagnostic in vitro ; réactif pour analyses.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2013-12-17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2013-12-17. Elle a donc 12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Ethanol devrait être classée H225 selon les dernières classifications harmonisées publiées par l’ECHA.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P281</w:t>
      </w:r>
      <w:r>
        <w:t xml:space="preserve"> </w:t>
      </w:r>
      <w:r>
        <w:t xml:space="preserve">Utiliser l’équipement de protection individuel requis.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3</w:t>
      </w:r>
    </w:p>
    <w:p>
      <w:pPr>
        <w:pStyle w:val="Compact"/>
        <w:numPr>
          <w:ilvl w:val="0"/>
          <w:numId w:val="1006"/>
        </w:numPr>
      </w:pPr>
      <w:r>
        <w:t xml:space="preserve">RID : UN 1993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3</w:t>
      </w:r>
    </w:p>
    <w:p>
      <w:pPr>
        <w:pStyle w:val="Compact"/>
        <w:numPr>
          <w:ilvl w:val="0"/>
          <w:numId w:val="1006"/>
        </w:numPr>
      </w:pPr>
      <w:r>
        <w:t xml:space="preserve">IATA : 3</w:t>
      </w:r>
    </w:p>
    <w:p>
      <w:pPr>
        <w:pStyle w:val="Compact"/>
        <w:numPr>
          <w:ilvl w:val="0"/>
          <w:numId w:val="1006"/>
        </w:numPr>
      </w:pPr>
      <w:r>
        <w:t xml:space="preserve">UN : UN 1993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à l’eau.</w:t>
      </w:r>
      <w:r>
        <w:t xml:space="preserve"> </w:t>
      </w:r>
      <w:r>
        <w:t xml:space="preserve">Enlever les vêtements souillés.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eyes : Rincer abondamment à l’eau, en maintenant les paupières écartées.</w:t>
      </w:r>
      <w:r>
        <w:t xml:space="preserve"> </w:t>
      </w:r>
      <w:r>
        <w:t xml:space="preserve">Consulter un ophtalmologiste.</w:t>
      </w:r>
    </w:p>
    <w:p>
      <w:pPr>
        <w:pStyle w:val="BodyText"/>
      </w:pPr>
      <w:r>
        <w:t xml:space="preserve">ingestion : Faire boire immédiatement de l’eau (maximum 2 verres).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Faire respirer de l’air frais.</w:t>
      </w:r>
      <w:r>
        <w:t xml:space="preserve"> </w:t>
      </w:r>
      <w:r>
        <w:t xml:space="preserve">Consulter un médecin (en cas de malaise).</w:t>
      </w:r>
    </w:p>
    <w:p>
      <w:r>
        <w:br w:type="page"/>
      </w:r>
    </w:p>
    <w:bookmarkEnd w:id="40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crystal-violet-hexaméthylpararosaniline"/>
    <w:p>
      <w:pPr>
        <w:pStyle w:val="Heading3"/>
      </w:pPr>
      <w:r>
        <w:t xml:space="preserve">Crystal violet (Hexaméthylpararosaniline)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548-62-9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8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0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8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64-17-5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total • Matière : caoutchouc butyle (ou caoutchouc nitrile selon la variante de la fiche) • Épaisseur : 0,7 mm (caoutchouc butyle) ou 0,11 mm (caoutchouc nitrile) • Temps de pénétration : &gt; 480 min (caoutchouc butyle) ou &gt; 480 min (caoutchouc nitrile) • Référence norme : CE 89/686/CEE et EN 374 (ex. KCL 898 Butoject® pour contact total, KCL 741 Dermatril® L pour contact total) Gants – contact par éclaboussures • Matière : polychloroprène (ou caoutchouc nitrile selon la variante) • Épaisseur : 0,65 mm (polychloroprène) ou 0,11 mm (caoutchouc nitrile) • Temps de pénétration : &gt; 60 min (polychloroprène) ou &gt; 480 min (caoutchouc nitrile) • Référence norme : CE 89/686/CEE et EN 374 (ex. KCL 720 Camapren® pour éclaboussures, KCL 741 Dermatril® L pour éclaboussures)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Type : lunettes de sécurité (sans spécification de matériau ou d’épaisseur) Protection des yeux/du visage – Lunettes de sécurité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contact total • Matière : caoutchouc butyle (ou caoutchouc nitrile selon la variante de la fiche) • Épaisseur : 0,7 mm (caoutchouc butyle) ou 0,11 mm (caoutchouc nitrile) • Temps de pénétration : &gt; 480 min (caoutchouc butyle) ou &gt; 480 min (caoutchouc nitrile) • Référence norme : CE 89/686/CEE et EN 374 (ex. KCL 898 Butoject® pour contact total, KCL 741 Dermatril® L pour contact total) Gants – contact par éclaboussures • Matière : polychloroprène (ou caoutchouc nitrile selon la variante) • Épaisseur : 0,65 mm (polychloroprène) ou 0,11 mm (caoutchouc nitrile) • Temps de pénétration : &gt; 60 min (polychloroprène) ou &gt; 480 min (caoutchouc nitrile) • Référence norme : CE 89/686/CEE et EN 374 (ex. KCL 720 Camapren® pour éclaboussures, KCL 741 Dermatril® L pour éclaboussures)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Nécessité : pas nécessaire sauf en cas de formation d’aérosols (ou nécessaire si vapeurs/aérosols apparaissent) • Type de filtre recommandé : Filtre ABEK (dans la variante où le masque est requis) • Maintenance : doit être effectuée conformément aux instructions du fabricant et documentée Protection respiratoire – N’est pas nécessaire, sauf en cas de formation d’aérosols / Protection respiratoire – nécessaire en cas d’apparition de vapeurs/aérosols. Type de Filtre recommandé : Filtre ABEK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Type : tenue de protection antistatique ignifuge (ou simplement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vêtements de protection</w:t>
            </w:r>
            <w:r>
              <w:rPr>
                <w:sz w:val="20"/>
                <w:szCs w:val="20"/>
              </w:rPr>
              <w:t xml:space="preserve">”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selon la variante) Autres équipement de protection – Tenue de protection antistatique ignifuge / Autres équipement de protection – vêtements de protection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Travailler sous une hotte. - Ne pas inhaler la substance/le mélange. - Éviter les dégagements de vapeur et les aérosols. - Tenir à l’abri des flammes nues, des surfaces chaudes et des sources d’inflammation. - Prendre des mesures de précaution contre les décharges électrostatiques. - Enlever immédiatement tout vêtement souillé. - Protection préventive de la peau. - Se laver les mains et le visage après le travail. - Respecter les mises‑en‑garde de l’étiquette.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Hermétiquement fermé. - Stocker dans un endroit bien ventilé, à l’écart des sources de chaleur et d’ignition. - Conserver à une température comprise entre +15 °C et +25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pour diagnostic in vitro ; réactif pour analyses.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48" TargetMode="External"/><Relationship Id="rId46" Type="http://schemas.openxmlformats.org/officeDocument/2006/relationships/hyperlink" Target="https://www.inrs.fr/publications/bdd/fichetox/fiche.html?refINRS=FICHETOX_48&amp;section=VLEPMesurage" TargetMode="External"/><Relationship Id="rId51" Type="http://schemas.openxmlformats.org/officeDocument/2006/relationships/hyperlink" Target="https://www.inrs.fr/publications/bdd/fichetox/fiche.html?refINRS=FICHETOX_48&amp;section=bibliographieAuteurs" TargetMode="External"/><Relationship Id="rId45" Type="http://schemas.openxmlformats.org/officeDocument/2006/relationships/hyperlink" Target="https://www.inrs.fr/publications/bdd/fichetox/fiche.html?refINRS=FICHETOX_48&amp;section=caracteristiques" TargetMode="External"/><Relationship Id="rId44" Type="http://schemas.openxmlformats.org/officeDocument/2006/relationships/hyperlink" Target="https://www.inrs.fr/publications/bdd/fichetox/fiche.html?refINRS=FICHETOX_48&amp;section=generalites" TargetMode="External"/><Relationship Id="rId47" Type="http://schemas.openxmlformats.org/officeDocument/2006/relationships/hyperlink" Target="https://www.inrs.fr/publications/bdd/fichetox/fiche.html?refINRS=FICHETOX_48&amp;section=incendieExplosion" TargetMode="External"/><Relationship Id="rId48" Type="http://schemas.openxmlformats.org/officeDocument/2006/relationships/hyperlink" Target="https://www.inrs.fr/publications/bdd/fichetox/fiche.html?refINRS=FICHETOX_48&amp;section=pathologieToxicologie" TargetMode="External"/><Relationship Id="rId50" Type="http://schemas.openxmlformats.org/officeDocument/2006/relationships/hyperlink" Target="https://www.inrs.fr/publications/bdd/fichetox/fiche.html?refINRS=FICHETOX_48&amp;section=recommandations" TargetMode="External"/><Relationship Id="rId49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48" TargetMode="External"/><Relationship Id="rId46" Type="http://schemas.openxmlformats.org/officeDocument/2006/relationships/hyperlink" Target="https://www.inrs.fr/publications/bdd/fichetox/fiche.html?refINRS=FICHETOX_48&amp;section=VLEPMesurage" TargetMode="External"/><Relationship Id="rId51" Type="http://schemas.openxmlformats.org/officeDocument/2006/relationships/hyperlink" Target="https://www.inrs.fr/publications/bdd/fichetox/fiche.html?refINRS=FICHETOX_48&amp;section=bibliographieAuteurs" TargetMode="External"/><Relationship Id="rId45" Type="http://schemas.openxmlformats.org/officeDocument/2006/relationships/hyperlink" Target="https://www.inrs.fr/publications/bdd/fichetox/fiche.html?refINRS=FICHETOX_48&amp;section=caracteristiques" TargetMode="External"/><Relationship Id="rId44" Type="http://schemas.openxmlformats.org/officeDocument/2006/relationships/hyperlink" Target="https://www.inrs.fr/publications/bdd/fichetox/fiche.html?refINRS=FICHETOX_48&amp;section=generalites" TargetMode="External"/><Relationship Id="rId47" Type="http://schemas.openxmlformats.org/officeDocument/2006/relationships/hyperlink" Target="https://www.inrs.fr/publications/bdd/fichetox/fiche.html?refINRS=FICHETOX_48&amp;section=incendieExplosion" TargetMode="External"/><Relationship Id="rId48" Type="http://schemas.openxmlformats.org/officeDocument/2006/relationships/hyperlink" Target="https://www.inrs.fr/publications/bdd/fichetox/fiche.html?refINRS=FICHETOX_48&amp;section=pathologieToxicologie" TargetMode="External"/><Relationship Id="rId50" Type="http://schemas.openxmlformats.org/officeDocument/2006/relationships/hyperlink" Target="https://www.inrs.fr/publications/bdd/fichetox/fiche.html?refINRS=FICHETOX_48&amp;section=recommandations" TargetMode="External"/><Relationship Id="rId49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2026-04-09T16:19:49Z</dcterms:created>
  <dcterms:modified xsi:type="dcterms:W3CDTF">2026-04-09T16:19:49Z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