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vwr-acetone-20063jod-grez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VWR International SAS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2026-04-09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vwr-acetone-20063jod-grez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Xfbd840209fd3fea77bdc2feefeabed45d5f842f"/>
    <w:p>
      <w:pPr>
        <w:pStyle w:val="Heading1"/>
      </w:pPr>
      <w:r>
        <w:t xml:space="preserve">Analyse des dangers : vwr-acetone-20063jod-grez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vwr-acetone-20063jod-grez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VWR International SAS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5 - 6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Solvant organique pour usages généraux au laboratoire et dans l’industrie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2005-07-22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2005-07-22. Elle a donc 20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Acétone devrait être classée H225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Acétone devrait être classée H319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Acétone devrait être classée H336 selon les dernières classifications harmonisées publiées par l’ECHA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3</w:t>
      </w:r>
    </w:p>
    <w:p>
      <w:pPr>
        <w:pStyle w:val="Compact"/>
        <w:numPr>
          <w:ilvl w:val="0"/>
          <w:numId w:val="1004"/>
        </w:numPr>
      </w:pPr>
      <w:r>
        <w:t xml:space="preserve">RID : 3</w:t>
      </w:r>
    </w:p>
    <w:p>
      <w:pPr>
        <w:pStyle w:val="Compact"/>
        <w:numPr>
          <w:ilvl w:val="0"/>
          <w:numId w:val="1004"/>
        </w:numPr>
      </w:pPr>
      <w:r>
        <w:t xml:space="preserve">ADN : 3</w:t>
      </w:r>
    </w:p>
    <w:p>
      <w:pPr>
        <w:pStyle w:val="Compact"/>
        <w:numPr>
          <w:ilvl w:val="0"/>
          <w:numId w:val="1004"/>
        </w:numPr>
      </w:pPr>
      <w:r>
        <w:t xml:space="preserve">IMDG : 3</w:t>
      </w:r>
    </w:p>
    <w:p>
      <w:pPr>
        <w:pStyle w:val="Compact"/>
        <w:numPr>
          <w:ilvl w:val="0"/>
          <w:numId w:val="1004"/>
        </w:numPr>
      </w:pPr>
      <w:r>
        <w:t xml:space="preserve">IATA : 3</w:t>
      </w:r>
    </w:p>
    <w:p>
      <w:pPr>
        <w:pStyle w:val="Compact"/>
        <w:numPr>
          <w:ilvl w:val="0"/>
          <w:numId w:val="1004"/>
        </w:numPr>
      </w:pPr>
      <w:r>
        <w:t xml:space="preserve">UN : 1090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abondamment la zone touchée avec de l’eau.</w:t>
      </w:r>
      <w:r>
        <w:t xml:space="preserve"> </w:t>
      </w:r>
      <w:r>
        <w:t xml:space="preserve">Retirer les vêtements contaminés.</w:t>
      </w:r>
      <w:r>
        <w:t xml:space="preserve"> </w:t>
      </w:r>
      <w:r>
        <w:t xml:space="preserve">Consulter un médecin en cas d’exposition prolongée.</w:t>
      </w:r>
    </w:p>
    <w:p>
      <w:pPr>
        <w:pStyle w:val="BodyText"/>
      </w:pPr>
      <w:r>
        <w:t xml:space="preserve">eyes : Rincer soigneusement les yeux avec de l’eau pendant au moins 10 minutes.</w:t>
      </w:r>
      <w:r>
        <w:t xml:space="preserve"> </w:t>
      </w:r>
      <w:r>
        <w:t xml:space="preserve">Consulter un ophtalmologiste.</w:t>
      </w:r>
    </w:p>
    <w:p>
      <w:pPr>
        <w:pStyle w:val="BodyText"/>
      </w:pPr>
      <w:r>
        <w:t xml:space="preserve">ingestion : Si la victime est consciente, rincer soigneusement la bouche avec de l’eau et faire boire de l’eau.</w:t>
      </w:r>
      <w:r>
        <w:t xml:space="preserve"> </w:t>
      </w:r>
      <w:r>
        <w:t xml:space="preserve">Ne pas tenter de faire vomir (risque d’aspiration pulmonaire).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inhalation : Éloigner la victime de la zone dangereuse.</w:t>
      </w:r>
      <w:r>
        <w:t xml:space="preserve"> </w:t>
      </w:r>
      <w:r>
        <w:t xml:space="preserve">La garder au repos et au chaud.</w:t>
      </w:r>
      <w:r>
        <w:t xml:space="preserve"> </w:t>
      </w:r>
      <w:r>
        <w:t xml:space="preserve">Consulter un médecin en cas d’exposition prolongée.</w:t>
      </w:r>
    </w:p>
    <w:p>
      <w:r>
        <w:br w:type="page"/>
      </w:r>
    </w:p>
    <w:bookmarkEnd w:id="31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acétone"/>
    <w:p>
      <w:pPr>
        <w:pStyle w:val="Heading3"/>
      </w:pPr>
      <w:r>
        <w:t xml:space="preserve">Acétone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67-64-1</w:t>
      </w:r>
    </w:p>
    <w:p>
      <w:pPr>
        <w:pStyle w:val="Compact"/>
        <w:numPr>
          <w:ilvl w:val="0"/>
          <w:numId w:val="1005"/>
        </w:numPr>
      </w:pPr>
      <w:r>
        <w:t xml:space="preserve">N° EINECS : 200-662-2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99.0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6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246.0 - VLE-8h (mg/m³) : 594.0 - VLE-15min (ppm) : 492.0 - VLE-15min (mg/m³) : 1187.0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n°3 - Acétone</w:t>
        </w:r>
      </w:hyperlink>
    </w:p>
    <w:p>
      <w:pPr>
        <w:numPr>
          <w:ilvl w:val="0"/>
          <w:numId w:val="1007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7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7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7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Explosion[1-3, 26-28]</w:t>
        </w:r>
      </w:hyperlink>
    </w:p>
    <w:p>
      <w:pPr>
        <w:numPr>
          <w:ilvl w:val="0"/>
          <w:numId w:val="1007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7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7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7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Matériau : caoutchouc butyle ou latex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à cartouche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(à utiliser lorsqu’il y a apparition de vapeurs ou d’aérosols)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Masque respiratoire autonome isolant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(à utiliser lors de la manipulation de grandes quantités)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Travailler sous hotte ou dans un local bien ventilé. - Éviter l’accumulation de vapeurs et de charges électrostatiques (mise à la terre en cas de transvasement). - Conserver les récipients hermétiquement fermés, à l’abri du soleil, dans un endroit bien ventilé et à l’écart de toute source d’inflammation. - Porter des vêtements de protection appropriés (gants en caoutchouc butyle ou latex, lunettes de sécurité). - Changer immédiatement les gants de protection dès qu’ils présentent un quelconque signe de dégradation. - Utiliser un masque à cartouche en cas d’apparition de vapeurs ou d’aérosols, ou un masque respiratoire autonome isolant en cas de manipulation de grandes quantités. - Se laver les mains et le visage après travail avec le produit; nettoyer les vêtements contaminés avant réutilisation. - Ne pas inhaler la substance.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: - Conserver les récipients à température ambiante, idéalement entre 15 °C et 25 °C. - Garder les récipients hermétiquement fermés. - Stocker à l’abri du soleil, dans un endroit bien ventilé. - Éloigner les récipients de toute source d’inflammation (flamme, étincelle, chaleur excessive). Incompatibilités à éviter : - Bases fortes (hydroxydes alcalins). - Métaux alcalins. - Agents oxydants (peroxydes, acide nitrique, oxydes de chrome). - Halogènes et hydrocarbures halogénés. - Aluminium en poudre. - Éthanolamine. - Certaines matières plastiques et caoutchouc (incompatibles avec l’acétone).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Solvant organique pour usages généraux au laboratoire et dans l’industrie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publications/bdd/fichetox/fiche.html?refINRS=FICHETOX_3" TargetMode="External"/><Relationship Id="rId35" Type="http://schemas.openxmlformats.org/officeDocument/2006/relationships/hyperlink" Target="https://www.inrs.fr/publications/bdd/fichetox/fiche.html?refINRS=FICHETOX_3&amp;section=VLEPMesurage" TargetMode="External"/><Relationship Id="rId40" Type="http://schemas.openxmlformats.org/officeDocument/2006/relationships/hyperlink" Target="https://www.inrs.fr/publications/bdd/fichetox/fiche.html?refINRS=FICHETOX_3&amp;section=bibliographieAuteurs" TargetMode="External"/><Relationship Id="rId34" Type="http://schemas.openxmlformats.org/officeDocument/2006/relationships/hyperlink" Target="https://www.inrs.fr/publications/bdd/fichetox/fiche.html?refINRS=FICHETOX_3&amp;section=caracteristiques" TargetMode="External"/><Relationship Id="rId33" Type="http://schemas.openxmlformats.org/officeDocument/2006/relationships/hyperlink" Target="https://www.inrs.fr/publications/bdd/fichetox/fiche.html?refINRS=FICHETOX_3&amp;section=generalites" TargetMode="External"/><Relationship Id="rId36" Type="http://schemas.openxmlformats.org/officeDocument/2006/relationships/hyperlink" Target="https://www.inrs.fr/publications/bdd/fichetox/fiche.html?refINRS=FICHETOX_3&amp;section=incendieExplosion" TargetMode="External"/><Relationship Id="rId37" Type="http://schemas.openxmlformats.org/officeDocument/2006/relationships/hyperlink" Target="https://www.inrs.fr/publications/bdd/fichetox/fiche.html?refINRS=FICHETOX_3&amp;section=pathologieToxicologie" TargetMode="External"/><Relationship Id="rId39" Type="http://schemas.openxmlformats.org/officeDocument/2006/relationships/hyperlink" Target="https://www.inrs.fr/publications/bdd/fichetox/fiche.html?refINRS=FICHETOX_3&amp;section=recommandations" TargetMode="External"/><Relationship Id="rId38" Type="http://schemas.openxmlformats.org/officeDocument/2006/relationships/hyperlink" Target="https://www.inrs.fr/publications/bdd/fichetox/fiche.html?refINRS=FICHETOX_3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publications/bdd/fichetox/fiche.html?refINRS=FICHETOX_3" TargetMode="External"/><Relationship Id="rId35" Type="http://schemas.openxmlformats.org/officeDocument/2006/relationships/hyperlink" Target="https://www.inrs.fr/publications/bdd/fichetox/fiche.html?refINRS=FICHETOX_3&amp;section=VLEPMesurage" TargetMode="External"/><Relationship Id="rId40" Type="http://schemas.openxmlformats.org/officeDocument/2006/relationships/hyperlink" Target="https://www.inrs.fr/publications/bdd/fichetox/fiche.html?refINRS=FICHETOX_3&amp;section=bibliographieAuteurs" TargetMode="External"/><Relationship Id="rId34" Type="http://schemas.openxmlformats.org/officeDocument/2006/relationships/hyperlink" Target="https://www.inrs.fr/publications/bdd/fichetox/fiche.html?refINRS=FICHETOX_3&amp;section=caracteristiques" TargetMode="External"/><Relationship Id="rId33" Type="http://schemas.openxmlformats.org/officeDocument/2006/relationships/hyperlink" Target="https://www.inrs.fr/publications/bdd/fichetox/fiche.html?refINRS=FICHETOX_3&amp;section=generalites" TargetMode="External"/><Relationship Id="rId36" Type="http://schemas.openxmlformats.org/officeDocument/2006/relationships/hyperlink" Target="https://www.inrs.fr/publications/bdd/fichetox/fiche.html?refINRS=FICHETOX_3&amp;section=incendieExplosion" TargetMode="External"/><Relationship Id="rId37" Type="http://schemas.openxmlformats.org/officeDocument/2006/relationships/hyperlink" Target="https://www.inrs.fr/publications/bdd/fichetox/fiche.html?refINRS=FICHETOX_3&amp;section=pathologieToxicologie" TargetMode="External"/><Relationship Id="rId39" Type="http://schemas.openxmlformats.org/officeDocument/2006/relationships/hyperlink" Target="https://www.inrs.fr/publications/bdd/fichetox/fiche.html?refINRS=FICHETOX_3&amp;section=recommandations" TargetMode="External"/><Relationship Id="rId38" Type="http://schemas.openxmlformats.org/officeDocument/2006/relationships/hyperlink" Target="https://www.inrs.fr/publications/bdd/fichetox/fiche.html?refINRS=FICHETOX_3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2026-04-09T16:23:05Z</dcterms:created>
  <dcterms:modified xsi:type="dcterms:W3CDTF">2026-04-09T16:23:05Z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