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whitespiritforeverproductlln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whitespiritforeverproductlln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6" w:name="X6b7d03af58df672089a811ddaad5f799f0432dd"/>
    <w:p>
      <w:pPr>
        <w:pStyle w:val="Heading1"/>
      </w:pPr>
      <w:r>
        <w:t xml:space="preserve">Analyse des dangers : whitespiritforeverproductlln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whitespiritforeverproductlln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Forever Products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fluide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Found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2013-03-04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2013-03-04. Elle a donc 13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3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P273</w:t>
      </w:r>
      <w:r>
        <w:t xml:space="preserve"> </w:t>
      </w:r>
      <w:r>
        <w:t xml:space="preserve">Éviter le rejet dans l’environnement.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P331</w:t>
      </w:r>
      <w:r>
        <w:t xml:space="preserve"> </w:t>
      </w:r>
      <w:r>
        <w:t xml:space="preserve">NE PAS faire vomir.</w:t>
      </w:r>
    </w:p>
    <w:p>
      <w:pPr>
        <w:numPr>
          <w:ilvl w:val="0"/>
          <w:numId w:val="1004"/>
        </w:numPr>
      </w:pPr>
      <w:r>
        <w:t xml:space="preserve">P370+P378</w:t>
      </w:r>
      <w:r>
        <w:t xml:space="preserve"> </w:t>
      </w:r>
      <w:r>
        <w:t xml:space="preserve">En cas d’incendie: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Classe 3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1300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Retirer les vêtements souillés.</w:t>
      </w:r>
      <w:r>
        <w:t xml:space="preserve"> </w:t>
      </w:r>
      <w:r>
        <w:t xml:space="preserve">Laver immédiatement la peau.</w:t>
      </w:r>
    </w:p>
    <w:p>
      <w:pPr>
        <w:pStyle w:val="BodyText"/>
      </w:pPr>
      <w:r>
        <w:t xml:space="preserve">eyes : Laver immédiatement et abondamment à l’eau, en écartant les paupières, pendant plusieurs minutes.</w:t>
      </w:r>
      <w:r>
        <w:t xml:space="preserve"> </w:t>
      </w:r>
      <w:r>
        <w:t xml:space="preserve">Si une irritation persiste, consulter un ophtalmologiste.</w:t>
      </w:r>
    </w:p>
    <w:p>
      <w:pPr>
        <w:pStyle w:val="BodyText"/>
      </w:pPr>
      <w:r>
        <w:t xml:space="preserve">ingestion : Consulter un médecin en lui montrant l’étiquette.</w:t>
      </w:r>
      <w:r>
        <w:t xml:space="preserve"> </w:t>
      </w:r>
      <w:r>
        <w:t xml:space="preserve">Ne pas faire vomir.</w:t>
      </w:r>
    </w:p>
    <w:p>
      <w:pPr>
        <w:pStyle w:val="BodyText"/>
      </w:pPr>
      <w:r>
        <w:t xml:space="preserve">inhalation : Éloigner immédiatement la personne de l’atmosphère polluée.</w:t>
      </w:r>
      <w:r>
        <w:t xml:space="preserve"> </w:t>
      </w:r>
      <w:r>
        <w:t xml:space="preserve">Appeler un médecin.</w:t>
      </w:r>
    </w:p>
    <w:p>
      <w:r>
        <w:br w:type="page"/>
      </w:r>
    </w:p>
    <w:bookmarkEnd w:id="40"/>
    <w:bookmarkStart w:id="4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white-spirit"/>
    <w:p>
      <w:pPr>
        <w:pStyle w:val="Heading3"/>
      </w:pPr>
      <w:r>
        <w:t xml:space="preserve">White spirit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919-446-0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7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End w:id="43"/>
    <w:bookmarkStart w:id="4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des gants de protection appropriés résistants aux agents chimiques conformes à la norme NF 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Aucun détail sur l’épaisseur, le matériau exact (cuir, nitrile, etc.) ou le temps de perçage n’est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(ou un écran facial) pour protéger les yeux et le visage.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texte ne précise pas de modèle, de matériau ou de type de protection (par ex. lunettes à visière, écran facial complet).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Lorsque les travailleurs sont confrontés à des concentrations supérieures aux limites d’exposition, ils doivent porter un appareil de protection respiratoire appropriés et agréés.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 Masques appropriés et agréés : à cartouches avec filtre A. • Filtre recommandé : P2.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vêtements de protection appropriés.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Le document ne précise pas le type de vêtement (combinaison, tablier, etc.), le matériau, la résistance chimique ou la protection contre les éclaboussures.</w:t>
            </w:r>
          </w:p>
        </w:tc>
      </w:tr>
    </w:tbl>
    <w:bookmarkEnd w:id="44"/>
    <w:bookmarkStart w:id="4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Manipuler dans des zones bien ventilées ; se référer à la section 8 pour les équipements de protection individuelle.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sûr: - Conserver le récipient fermé dans un endroit bien ventilé. - Conserver à l’écart de toute source d’ignition ; ne pas fumer. - Toujours conserver dans des emballages d’un matériau identique à celui d’origine. Incompatibilités à éviter: - Éviter les oxydants forts. - Éviter l’échauffement, la chaleur, les flammes et les surfaces chaudes.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Not Found</w:t>
            </w:r>
          </w:p>
        </w:tc>
      </w:tr>
    </w:tbl>
    <w:bookmarkEnd w:id="45"/>
    <w:bookmarkEnd w:id="4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2026-04-09T16:26:45Z</dcterms:created>
  <dcterms:modified xsi:type="dcterms:W3CDTF">2026-04-09T16:26:45Z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