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fds_creamcleanergreencare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Werner &amp; Mertz Benelux S.A./N.V.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2026-04-14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fds_creamcleanergreencare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41" w:name="Xf95394b47ac768bbf5f4b02ce6b2520a0b57bf9"/>
    <w:p>
      <w:pPr>
        <w:pStyle w:val="Heading1"/>
      </w:pPr>
      <w:r>
        <w:t xml:space="preserve">Analyse des dangers : fds_creamcleanergreencare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fds_creamcleanergreencare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Werner &amp; Mertz Benelux S.A./N.V.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visqueux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10,3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 de nettoyage réservé aux utilisateurs professionnels.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2025-04-15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2025-04-15. Elle a donc 0 an(s).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ADR : pas disponible</w:t>
      </w:r>
    </w:p>
    <w:p>
      <w:pPr>
        <w:pStyle w:val="Compact"/>
        <w:numPr>
          <w:ilvl w:val="0"/>
          <w:numId w:val="1003"/>
        </w:numPr>
      </w:pPr>
      <w:r>
        <w:t xml:space="preserve">RID : pas disponible</w:t>
      </w:r>
    </w:p>
    <w:p>
      <w:pPr>
        <w:pStyle w:val="Compact"/>
        <w:numPr>
          <w:ilvl w:val="0"/>
          <w:numId w:val="1003"/>
        </w:numPr>
      </w:pPr>
      <w:r>
        <w:t xml:space="preserve">ADN : pas disponible</w:t>
      </w:r>
    </w:p>
    <w:p>
      <w:pPr>
        <w:pStyle w:val="Compact"/>
        <w:numPr>
          <w:ilvl w:val="0"/>
          <w:numId w:val="1003"/>
        </w:numPr>
      </w:pPr>
      <w:r>
        <w:t xml:space="preserve">IMDG : pas disponible</w:t>
      </w:r>
    </w:p>
    <w:p>
      <w:pPr>
        <w:pStyle w:val="Compact"/>
        <w:numPr>
          <w:ilvl w:val="0"/>
          <w:numId w:val="1003"/>
        </w:numPr>
      </w:pPr>
      <w:r>
        <w:t xml:space="preserve">IATA : pas disponible</w:t>
      </w:r>
    </w:p>
    <w:p>
      <w:pPr>
        <w:pStyle w:val="Compact"/>
        <w:numPr>
          <w:ilvl w:val="0"/>
          <w:numId w:val="1003"/>
        </w:numPr>
      </w:pPr>
      <w:r>
        <w:t xml:space="preserve">UN : pas disponible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Oter immédiatement les vêtements et les chaussures contaminés. Laver la zone affectée au savon avec une grande quantité d’eau.</w:t>
      </w:r>
    </w:p>
    <w:p>
      <w:pPr>
        <w:pStyle w:val="BodyText"/>
      </w:pPr>
      <w:r>
        <w:t xml:space="preserve">eyes : Protéger l’œil intact. Retirer les lentilles de contact si possible. Rincer immédiatement et abondamment à l’eau, y compris sous les paupières, pendant au moins 15 minutes.</w:t>
      </w:r>
    </w:p>
    <w:p>
      <w:pPr>
        <w:pStyle w:val="BodyText"/>
      </w:pPr>
      <w:r>
        <w:t xml:space="preserve">ingestion : Se rincer la bouche à l’eau puis boire beaucoup d’eau. Ne pas faire boire de lait ou de boissons alcoolisées. Ne jamais faire avaler à une personne inconsciente.</w:t>
      </w:r>
    </w:p>
    <w:p>
      <w:pPr>
        <w:pStyle w:val="BodyText"/>
      </w:pPr>
      <w:r>
        <w:t xml:space="preserve">inhalation : Mettre la victime à l’air libre en cas d’inhalation accidentelle de poussière ou de fumées provenant de surchauffage ou de combustion. Si les troubles se prolongent, consulter un médecin.</w:t>
      </w:r>
    </w:p>
    <w:p>
      <w:r>
        <w:br w:type="page"/>
      </w:r>
    </w:p>
    <w:bookmarkEnd w:id="31"/>
    <w:bookmarkStart w:id="38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3" w:name="X353207a335a4da75eb30e587d3a4dbe8cdf4686"/>
    <w:p>
      <w:pPr>
        <w:pStyle w:val="Heading3"/>
      </w:pPr>
      <w:r>
        <w:t xml:space="preserve">Rapeseed oil monoethanolamide, ethoxylated (3-4 EO)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4"/>
        </w:numPr>
      </w:pPr>
      <w:r>
        <w:t xml:space="preserve">N° CAS : 85536-23-8</w:t>
      </w:r>
    </w:p>
    <w:p>
      <w:pPr>
        <w:pStyle w:val="Compact"/>
        <w:numPr>
          <w:ilvl w:val="0"/>
          <w:numId w:val="1004"/>
        </w:numPr>
      </w:pPr>
      <w:r>
        <w:t xml:space="preserve">N° EINECS : 932-164-2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2.5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5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5"/>
        </w:numPr>
      </w:pPr>
      <w:r>
        <w:t xml:space="preserve">H412</w:t>
      </w:r>
      <w:r>
        <w:t xml:space="preserve"> </w:t>
      </w:r>
      <w:r>
        <w:t xml:space="preserve">Nocif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2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2"/>
    <w:bookmarkEnd w:id="33"/>
    <w:bookmarkStart w:id="35" w:name="méthyliminodiéthanol"/>
    <w:p>
      <w:pPr>
        <w:pStyle w:val="Heading3"/>
      </w:pPr>
      <w:r>
        <w:t xml:space="preserve">2,2’-méthyliminodiéthanol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105-59-9</w:t>
      </w:r>
    </w:p>
    <w:p>
      <w:pPr>
        <w:pStyle w:val="Compact"/>
        <w:numPr>
          <w:ilvl w:val="0"/>
          <w:numId w:val="1006"/>
        </w:numPr>
      </w:pPr>
      <w:r>
        <w:t xml:space="preserve">N° EINECS : 203-312-7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7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4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4"/>
    <w:bookmarkEnd w:id="35"/>
    <w:bookmarkStart w:id="37" w:name="calcaire"/>
    <w:p>
      <w:pPr>
        <w:pStyle w:val="Heading3"/>
      </w:pPr>
      <w:r>
        <w:t xml:space="preserve">calcaire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8"/>
        </w:numPr>
      </w:pPr>
      <w:r>
        <w:t xml:space="preserve">N° CAS : 1317-65-3</w:t>
      </w:r>
    </w:p>
    <w:p>
      <w:pPr>
        <w:pStyle w:val="Compact"/>
        <w:numPr>
          <w:ilvl w:val="0"/>
          <w:numId w:val="1008"/>
        </w:numPr>
      </w:pPr>
      <w:r>
        <w:t xml:space="preserve">N° EINECS : 215-279-6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30.0 to 50.0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(mg/m³) : 10.0</w:t>
            </w:r>
          </w:p>
        </w:tc>
      </w:tr>
    </w:tbl>
    <w:bookmarkStart w:id="36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6"/>
    <w:bookmarkEnd w:id="37"/>
    <w:bookmarkEnd w:id="38"/>
    <w:bookmarkStart w:id="39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Matériau: caoutchouc butyle ou caoutchouc nitrile • Catégorie: III (conforme à la norme EN 374) • Épaisseur: non précisée dans le texte (se référer à la norme EN 374 pour les exigences de catégorie III) • Temps de pénétration: non précisé, mais la catégorie III indique une résistance élevée aux produits chimiques « gants résistants aux produits chimiques faits de caoutchouc butyle ou de caoutchouc nitrile catégorie III conformément à EN 374. »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Matériau: caoutchouc butyle ou caoutchouc nitrile • Catégorie: III (conforme à la norme EN 374) • Épaisseur: non précisée dans le texte (se référer à la norme EN 374 pour les exigences de catégorie III) • Temps de pénétration: non précisé, mais la catégorie III indique une résistance élevée aux produits chimiques « gants résistants aux produits chimiques faits de caoutchouc butyle ou de caoutchouc nitrile catégorie III conformément à EN 374. »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</w:tbl>
    <w:bookmarkEnd w:id="39"/>
    <w:bookmarkStart w:id="40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Utiliser l’équipement de protection individuel (voir rubrique 8). - Aucune recommandation spéciale n’est requise pour la manipulation.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Conserver le récipient bien fermé dans un endroit sec et bien aéré. - Entreposer à température ambiante dans le récipient d’origine. - Pas de restrictions particulières pour le stockage en commun. - Le produit ne se décompose pas s’il est entreposé et utilisé conformément aux prescriptions. - Protéger le produit du gel (ne pas exposer à des températures de congélation).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 de nettoyage réservé aux utilisateurs professionnels.</w:t>
            </w:r>
          </w:p>
        </w:tc>
      </w:tr>
    </w:tbl>
    <w:bookmarkEnd w:id="40"/>
    <w:bookmarkEnd w:id="41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2026-04-14T07:52:03Z</dcterms:created>
  <dcterms:modified xsi:type="dcterms:W3CDTF">2026-04-14T07:52:03Z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