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fds_degreasergreenr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fds_degreasergreenr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4" w:name="analyse-des-dangers-fds_degreasergreenr"/>
    <w:p>
      <w:pPr>
        <w:pStyle w:val="Heading1"/>
      </w:pPr>
      <w:r>
        <w:t xml:space="preserve">Analyse des dangers : fds_degreasergreenr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fds_degreasergreenr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Christeyns France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– 13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DÉGRAISSANT SURPUISANT POUR GRAISSES CUITES ET CARBONISÉES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2018-05-31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2018-05-31.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Citral devrait être classée H315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Citral devrait être classée H317 selon les dernières classifications harmonisées publiées par l’ECHA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4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P234</w:t>
      </w:r>
      <w:r>
        <w:t xml:space="preserve"> </w:t>
      </w:r>
      <w:r>
        <w:t xml:space="preserve">Conserver uniquement dans le récipient d’origine.</w:t>
      </w:r>
    </w:p>
    <w:p>
      <w:pPr>
        <w:numPr>
          <w:ilvl w:val="0"/>
          <w:numId w:val="1005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5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-</w:t>
      </w:r>
    </w:p>
    <w:p>
      <w:pPr>
        <w:pStyle w:val="Compact"/>
        <w:numPr>
          <w:ilvl w:val="0"/>
          <w:numId w:val="1006"/>
        </w:numPr>
      </w:pPr>
      <w:r>
        <w:t xml:space="preserve">RID : -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-</w:t>
      </w:r>
    </w:p>
    <w:p>
      <w:pPr>
        <w:pStyle w:val="Compact"/>
        <w:numPr>
          <w:ilvl w:val="0"/>
          <w:numId w:val="1006"/>
        </w:numPr>
      </w:pPr>
      <w:r>
        <w:t xml:space="preserve">IATA : -</w:t>
      </w:r>
    </w:p>
    <w:p>
      <w:pPr>
        <w:pStyle w:val="Compact"/>
        <w:numPr>
          <w:ilvl w:val="0"/>
          <w:numId w:val="1006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tout vêtement contaminé. Laver abondamment la zone touchée à l’eau et consulter un médecin.</w:t>
      </w:r>
    </w:p>
    <w:p>
      <w:pPr>
        <w:pStyle w:val="BodyText"/>
      </w:pPr>
      <w:r>
        <w:t xml:space="preserve">eyes : Laver immédiatement et abondamment les yeux à l’eau. Consulter un spécialiste.</w:t>
      </w:r>
    </w:p>
    <w:p>
      <w:pPr>
        <w:pStyle w:val="BodyText"/>
      </w:pPr>
      <w:r>
        <w:t xml:space="preserve">ingestion : En cas d’ingestion, consulter immédiatement un médecin et lui montrer l’emballage ou l’étiquette.</w:t>
      </w:r>
    </w:p>
    <w:p>
      <w:pPr>
        <w:pStyle w:val="BodyText"/>
      </w:pPr>
      <w:r>
        <w:t xml:space="preserve">inhalation : En cas de malaise, consulter immédiatement un médecin.</w:t>
      </w:r>
    </w:p>
    <w:p>
      <w:r>
        <w:br w:type="page"/>
      </w:r>
    </w:p>
    <w:bookmarkEnd w:id="34"/>
    <w:bookmarkStart w:id="6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1310-73-2</w:t>
      </w:r>
    </w:p>
    <w:p>
      <w:pPr>
        <w:pStyle w:val="Compact"/>
        <w:numPr>
          <w:ilvl w:val="0"/>
          <w:numId w:val="1007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8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09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Start w:id="47" w:name="ether-méthylique-du-dipropylèneglycol"/>
    <w:p>
      <w:pPr>
        <w:pStyle w:val="Heading3"/>
      </w:pPr>
      <w:r>
        <w:t xml:space="preserve">Ether Méthylique du Dipropylèneglycol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None</w:t>
      </w:r>
    </w:p>
    <w:p>
      <w:pPr>
        <w:pStyle w:val="Compact"/>
        <w:numPr>
          <w:ilvl w:val="0"/>
          <w:numId w:val="1010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6"/>
    <w:bookmarkEnd w:id="47"/>
    <w:bookmarkStart w:id="49" w:name="citral"/>
    <w:p>
      <w:pPr>
        <w:pStyle w:val="Heading3"/>
      </w:pPr>
      <w:r>
        <w:t xml:space="preserve">Citral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5392-40-5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2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5.0 - VLE-8h (mg/m³) : 32.0</w:t>
            </w:r>
          </w:p>
        </w:tc>
      </w:tr>
    </w:tbl>
    <w:bookmarkStart w:id="48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8"/>
    <w:bookmarkEnd w:id="49"/>
    <w:bookmarkStart w:id="60" w:name="benzyl-acetate"/>
    <w:p>
      <w:pPr>
        <w:pStyle w:val="Heading3"/>
      </w:pPr>
      <w:r>
        <w:t xml:space="preserve">Benzyl acetate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140-11-4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10.0 - VLE-8h (mg/m³) : 62.0</w:t>
            </w:r>
          </w:p>
        </w:tc>
      </w:tr>
    </w:tbl>
    <w:bookmarkStart w:id="59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0">
        <w:r>
          <w:rPr>
            <w:rStyle w:val="Hyperlink"/>
            <w:color w:val="0856A0"/>
            <w:u w:val="single"/>
          </w:rPr>
          <w:t xml:space="preserve">Fiche n°284 - Acétate de benzyle</w:t>
        </w:r>
      </w:hyperlink>
    </w:p>
    <w:p>
      <w:pPr>
        <w:numPr>
          <w:ilvl w:val="0"/>
          <w:numId w:val="1014"/>
        </w:numPr>
      </w:pPr>
      <w:hyperlink r:id="rId5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5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5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54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14"/>
        </w:numPr>
      </w:pPr>
      <w:hyperlink r:id="rId5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5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5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5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9"/>
    <w:bookmarkEnd w:id="60"/>
    <w:bookmarkEnd w:id="61"/>
    <w:bookmarkStart w:id="6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PVC résistant chimiquement.</w:t>
            </w:r>
            <w:r>
              <w:rPr>
                <w:sz w:val="20"/>
                <w:szCs w:val="20"/>
              </w:rPr>
              <w:t xml:space="preserve">- Norme : EN 374 ou équivalent.</w:t>
            </w:r>
            <w:r>
              <w:rPr>
                <w:sz w:val="20"/>
                <w:szCs w:val="20"/>
              </w:rPr>
              <w:t xml:space="preserve">- Niveau de protection : minimum niveau 2.</w:t>
            </w:r>
            <w:r>
              <w:rPr>
                <w:sz w:val="20"/>
                <w:szCs w:val="20"/>
              </w:rPr>
              <w:t xml:space="preserve">- Temps de pénétration : à déterminer avec le fabricant des gants (minimum : niveau 2).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un appareil de protection des yeux et du visage (lunettes de sécurité ou écran facial).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PVC résistant chimiquement.</w:t>
            </w:r>
            <w:r>
              <w:rPr>
                <w:sz w:val="20"/>
                <w:szCs w:val="20"/>
              </w:rPr>
              <w:t xml:space="preserve">- Norme : EN 374 ou équivalent.</w:t>
            </w:r>
            <w:r>
              <w:rPr>
                <w:sz w:val="20"/>
                <w:szCs w:val="20"/>
              </w:rPr>
              <w:t xml:space="preserve">- Niveau de protection : minimum niveau 2.</w:t>
            </w:r>
            <w:r>
              <w:rPr>
                <w:sz w:val="20"/>
                <w:szCs w:val="20"/>
              </w:rPr>
              <w:t xml:space="preserve">- Temps de pénétration : à déterminer avec le fabricant des gants (minimum : niveau 2).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équipement de protection respiratoire individuel n’est normalement nécessaire.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Type : vêtement de protection approprié minimum EN 13034.</w:t>
            </w:r>
            <w:r>
              <w:rPr>
                <w:sz w:val="20"/>
                <w:szCs w:val="20"/>
              </w:rPr>
              <w:t xml:space="preserve">- Classe : type 6.</w:t>
            </w:r>
          </w:p>
        </w:tc>
      </w:tr>
    </w:tbl>
    <w:bookmarkEnd w:id="62"/>
    <w:bookmarkStart w:id="6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manger, boire ou fumer en manipulant ce produit. - Avoir une douche, un bain oculaire et un point d’eau à proximité. - Ne pas respirer les aérosols. - Ne pas manger, boire ni fumer dans les endroits où l’on utilise le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l’emballage d’origine. - Température de stockage : 5 – 40 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DÉGRAISSANT SURPUISANT POUR GRAISSES CUITES ET CARBONISÉES</w:t>
            </w:r>
          </w:p>
        </w:tc>
      </w:tr>
    </w:tbl>
    <w:bookmarkEnd w:id="63"/>
    <w:bookmarkEnd w:id="6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50" Type="http://schemas.openxmlformats.org/officeDocument/2006/relationships/hyperlink" Target="https://www.inrs.fr/publications/bdd/fichetox/fiche.html?refINRS=FICHETOX_284" TargetMode="External"/><Relationship Id="rId53" Type="http://schemas.openxmlformats.org/officeDocument/2006/relationships/hyperlink" Target="https://www.inrs.fr/publications/bdd/fichetox/fiche.html?refINRS=FICHETOX_284&amp;section=VLEPMesurage" TargetMode="External"/><Relationship Id="rId58" Type="http://schemas.openxmlformats.org/officeDocument/2006/relationships/hyperlink" Target="https://www.inrs.fr/publications/bdd/fichetox/fiche.html?refINRS=FICHETOX_284&amp;section=bibliographieAuteurs" TargetMode="External"/><Relationship Id="rId52" Type="http://schemas.openxmlformats.org/officeDocument/2006/relationships/hyperlink" Target="https://www.inrs.fr/publications/bdd/fichetox/fiche.html?refINRS=FICHETOX_284&amp;section=caracteristiques" TargetMode="External"/><Relationship Id="rId51" Type="http://schemas.openxmlformats.org/officeDocument/2006/relationships/hyperlink" Target="https://www.inrs.fr/publications/bdd/fichetox/fiche.html?refINRS=FICHETOX_284&amp;section=generalites" TargetMode="External"/><Relationship Id="rId54" Type="http://schemas.openxmlformats.org/officeDocument/2006/relationships/hyperlink" Target="https://www.inrs.fr/publications/bdd/fichetox/fiche.html?refINRS=FICHETOX_284&amp;section=incendieExplosion" TargetMode="External"/><Relationship Id="rId55" Type="http://schemas.openxmlformats.org/officeDocument/2006/relationships/hyperlink" Target="https://www.inrs.fr/publications/bdd/fichetox/fiche.html?refINRS=FICHETOX_284&amp;section=pathologieToxicologie" TargetMode="External"/><Relationship Id="rId57" Type="http://schemas.openxmlformats.org/officeDocument/2006/relationships/hyperlink" Target="https://www.inrs.fr/publications/bdd/fichetox/fiche.html?refINRS=FICHETOX_284&amp;section=recommandations" TargetMode="External"/><Relationship Id="rId56" Type="http://schemas.openxmlformats.org/officeDocument/2006/relationships/hyperlink" Target="https://www.inrs.fr/publications/bdd/fichetox/fiche.html?refINRS=FICHETOX_284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20" TargetMode="External"/><Relationship Id="rId38" Type="http://schemas.openxmlformats.org/officeDocument/2006/relationships/hyperlink" Target="https://www.inrs.fr/publications/bdd/fichetox/fiche.html?refINRS=FICHETOX_20&amp;section=VLEPMesurage" TargetMode="External"/><Relationship Id="rId43" Type="http://schemas.openxmlformats.org/officeDocument/2006/relationships/hyperlink" Target="https://www.inrs.fr/publications/bdd/fichetox/fiche.html?refINRS=FICHETOX_20&amp;section=bibliographieAuteurs" TargetMode="External"/><Relationship Id="rId37" Type="http://schemas.openxmlformats.org/officeDocument/2006/relationships/hyperlink" Target="https://www.inrs.fr/publications/bdd/fichetox/fiche.html?refINRS=FICHETOX_20&amp;section=caracteristiques" TargetMode="External"/><Relationship Id="rId36" Type="http://schemas.openxmlformats.org/officeDocument/2006/relationships/hyperlink" Target="https://www.inrs.fr/publications/bdd/fichetox/fiche.html?refINRS=FICHETOX_20&amp;section=generalites" TargetMode="External"/><Relationship Id="rId39" Type="http://schemas.openxmlformats.org/officeDocument/2006/relationships/hyperlink" Target="https://www.inrs.fr/publications/bdd/fichetox/fiche.html?refINRS=FICHETOX_20&amp;section=incendieExplosion" TargetMode="External"/><Relationship Id="rId40" Type="http://schemas.openxmlformats.org/officeDocument/2006/relationships/hyperlink" Target="https://www.inrs.fr/publications/bdd/fichetox/fiche.html?refINRS=FICHETOX_20&amp;section=pathologieToxicologie" TargetMode="External"/><Relationship Id="rId42" Type="http://schemas.openxmlformats.org/officeDocument/2006/relationships/hyperlink" Target="https://www.inrs.fr/publications/bdd/fichetox/fiche.html?refINRS=FICHETOX_20&amp;section=recommandations" TargetMode="External"/><Relationship Id="rId41" Type="http://schemas.openxmlformats.org/officeDocument/2006/relationships/hyperlink" Target="https://www.inrs.fr/publications/bdd/fichetox/fiche.html?refINRS=FICHETOX_20&amp;section=reglementation" TargetMode="External"/><Relationship Id="rId50" Type="http://schemas.openxmlformats.org/officeDocument/2006/relationships/hyperlink" Target="https://www.inrs.fr/publications/bdd/fichetox/fiche.html?refINRS=FICHETOX_284" TargetMode="External"/><Relationship Id="rId53" Type="http://schemas.openxmlformats.org/officeDocument/2006/relationships/hyperlink" Target="https://www.inrs.fr/publications/bdd/fichetox/fiche.html?refINRS=FICHETOX_284&amp;section=VLEPMesurage" TargetMode="External"/><Relationship Id="rId58" Type="http://schemas.openxmlformats.org/officeDocument/2006/relationships/hyperlink" Target="https://www.inrs.fr/publications/bdd/fichetox/fiche.html?refINRS=FICHETOX_284&amp;section=bibliographieAuteurs" TargetMode="External"/><Relationship Id="rId52" Type="http://schemas.openxmlformats.org/officeDocument/2006/relationships/hyperlink" Target="https://www.inrs.fr/publications/bdd/fichetox/fiche.html?refINRS=FICHETOX_284&amp;section=caracteristiques" TargetMode="External"/><Relationship Id="rId51" Type="http://schemas.openxmlformats.org/officeDocument/2006/relationships/hyperlink" Target="https://www.inrs.fr/publications/bdd/fichetox/fiche.html?refINRS=FICHETOX_284&amp;section=generalites" TargetMode="External"/><Relationship Id="rId54" Type="http://schemas.openxmlformats.org/officeDocument/2006/relationships/hyperlink" Target="https://www.inrs.fr/publications/bdd/fichetox/fiche.html?refINRS=FICHETOX_284&amp;section=incendieExplosion" TargetMode="External"/><Relationship Id="rId55" Type="http://schemas.openxmlformats.org/officeDocument/2006/relationships/hyperlink" Target="https://www.inrs.fr/publications/bdd/fichetox/fiche.html?refINRS=FICHETOX_284&amp;section=pathologieToxicologie" TargetMode="External"/><Relationship Id="rId57" Type="http://schemas.openxmlformats.org/officeDocument/2006/relationships/hyperlink" Target="https://www.inrs.fr/publications/bdd/fichetox/fiche.html?refINRS=FICHETOX_284&amp;section=recommandations" TargetMode="External"/><Relationship Id="rId56" Type="http://schemas.openxmlformats.org/officeDocument/2006/relationships/hyperlink" Target="https://www.inrs.fr/publications/bdd/fichetox/fiche.html?refINRS=FICHETOX_284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2026-04-14T08:02:20Z</dcterms:created>
  <dcterms:modified xsi:type="dcterms:W3CDTF">2026-04-14T08:02:20Z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