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fds_dishtabsgreenr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Christeyns France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fds_dishtabsgreenr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8" w:name="analyse-des-dangers-fds_dishtabsgreenr"/>
    <w:p>
      <w:pPr>
        <w:pStyle w:val="Heading1"/>
      </w:pPr>
      <w:r>
        <w:t xml:space="preserve">Analyse des dangers : fds_dishtabsgreenr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fds_dishtabsgreenr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Christeyns France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pastilles (poudre fine, grains, granulés, liquide visqueux, pâte : non applicable)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– 11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Détergent pour lave‑vaisselle.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2023-02-22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2023-02-22. Elle a donc 3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Acide citrique monohydrate devrait être classée H335 selon les dernières classifications harmonisées publiées par l’ECHA.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5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5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5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-</w:t>
      </w:r>
    </w:p>
    <w:p>
      <w:pPr>
        <w:pStyle w:val="Compact"/>
        <w:numPr>
          <w:ilvl w:val="0"/>
          <w:numId w:val="1006"/>
        </w:numPr>
      </w:pPr>
      <w:r>
        <w:t xml:space="preserve">RID : -</w:t>
      </w:r>
    </w:p>
    <w:p>
      <w:pPr>
        <w:pStyle w:val="Compact"/>
        <w:numPr>
          <w:ilvl w:val="0"/>
          <w:numId w:val="1006"/>
        </w:numPr>
      </w:pPr>
      <w:r>
        <w:t xml:space="preserve">ADN : -</w:t>
      </w:r>
    </w:p>
    <w:p>
      <w:pPr>
        <w:pStyle w:val="Compact"/>
        <w:numPr>
          <w:ilvl w:val="0"/>
          <w:numId w:val="1006"/>
        </w:numPr>
      </w:pPr>
      <w:r>
        <w:t xml:space="preserve">IMDG : -</w:t>
      </w:r>
    </w:p>
    <w:p>
      <w:pPr>
        <w:pStyle w:val="Compact"/>
        <w:numPr>
          <w:ilvl w:val="0"/>
          <w:numId w:val="1006"/>
        </w:numPr>
      </w:pPr>
      <w:r>
        <w:t xml:space="preserve">IATA : -</w:t>
      </w:r>
    </w:p>
    <w:p>
      <w:pPr>
        <w:pStyle w:val="Compact"/>
        <w:numPr>
          <w:ilvl w:val="0"/>
          <w:numId w:val="1006"/>
        </w:numPr>
      </w:pPr>
      <w:r>
        <w:t xml:space="preserve">UN : -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Enlever les vêtements contaminés et les laver avant réutilisation.</w:t>
      </w:r>
      <w:r>
        <w:t xml:space="preserve"> </w:t>
      </w:r>
      <w:r>
        <w:t xml:space="preserve">Laver la peau avec beaucoup d’eau et de savon.</w:t>
      </w:r>
    </w:p>
    <w:p>
      <w:pPr>
        <w:pStyle w:val="BodyText"/>
      </w:pPr>
      <w:r>
        <w:t xml:space="preserve">eyes : Rincer avec précaution à l’eau pendant plusieurs minutes.</w:t>
      </w:r>
      <w:r>
        <w:t xml:space="preserve"> </w:t>
      </w:r>
      <w:r>
        <w:t xml:space="preserve">Enlever les lentilles de contact si la victime en porte et si elles peuvent être facilement enlevées.</w:t>
      </w:r>
      <w:r>
        <w:t xml:space="preserve"> </w:t>
      </w:r>
      <w:r>
        <w:t xml:space="preserve">Continuer à rincer.</w:t>
      </w:r>
      <w:r>
        <w:t xml:space="preserve"> </w:t>
      </w:r>
      <w:r>
        <w:t xml:space="preserve">Si l’irritation oculaire persiste, consulter un médecin.</w:t>
      </w:r>
    </w:p>
    <w:p>
      <w:pPr>
        <w:pStyle w:val="BodyText"/>
      </w:pPr>
      <w:r>
        <w:t xml:space="preserve">ingestion : Se rincer la bouche à l’eau.</w:t>
      </w:r>
      <w:r>
        <w:t xml:space="preserve"> </w:t>
      </w:r>
      <w:r>
        <w:t xml:space="preserve">Ne pas provoquer de vomissements.</w:t>
      </w:r>
      <w:r>
        <w:t xml:space="preserve"> </w:t>
      </w:r>
      <w:r>
        <w:t xml:space="preserve">Appeler un médecin.</w:t>
      </w:r>
    </w:p>
    <w:p>
      <w:pPr>
        <w:pStyle w:val="BodyText"/>
      </w:pPr>
      <w:r>
        <w:t xml:space="preserve">inhalation : Si difficulté à respirer, transporter la victime à l’extérieur.</w:t>
      </w:r>
      <w:r>
        <w:t xml:space="preserve"> </w:t>
      </w:r>
      <w:r>
        <w:t xml:space="preserve">La maintenir au repos dans une position où elle peut respirer confortablement.</w:t>
      </w:r>
    </w:p>
    <w:p>
      <w:r>
        <w:br w:type="page"/>
      </w:r>
    </w:p>
    <w:bookmarkEnd w:id="34"/>
    <w:bookmarkStart w:id="45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carbonate-de-sodium"/>
    <w:p>
      <w:pPr>
        <w:pStyle w:val="Heading3"/>
      </w:pPr>
      <w:r>
        <w:t xml:space="preserve">carbonate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497-19-8</w:t>
      </w:r>
    </w:p>
    <w:p>
      <w:pPr>
        <w:pStyle w:val="Compact"/>
        <w:numPr>
          <w:ilvl w:val="0"/>
          <w:numId w:val="1007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sodium-percarbonate"/>
    <w:p>
      <w:pPr>
        <w:pStyle w:val="Heading3"/>
      </w:pPr>
      <w:r>
        <w:t xml:space="preserve">Sodium percarbonate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15630-89-4</w:t>
      </w:r>
    </w:p>
    <w:p>
      <w:pPr>
        <w:pStyle w:val="Compact"/>
        <w:numPr>
          <w:ilvl w:val="0"/>
          <w:numId w:val="1009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13.0 to 17.0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H272</w:t>
      </w:r>
      <w:r>
        <w:t xml:space="preserve"> </w:t>
      </w:r>
      <w:r>
        <w:t xml:space="preserve">Peut aggraver un incendie; comburant.</w:t>
      </w:r>
    </w:p>
    <w:p>
      <w:pPr>
        <w:numPr>
          <w:ilvl w:val="0"/>
          <w:numId w:val="1010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0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Start w:id="40" w:name="subtilisine"/>
    <w:p>
      <w:pPr>
        <w:pStyle w:val="Heading3"/>
      </w:pPr>
      <w:r>
        <w:t xml:space="preserve">Subtilisine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9014-01-1</w:t>
      </w:r>
    </w:p>
    <w:p>
      <w:pPr>
        <w:pStyle w:val="Compact"/>
        <w:numPr>
          <w:ilvl w:val="0"/>
          <w:numId w:val="1011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0.1 to 0.15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2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2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2"/>
        </w:numPr>
      </w:pPr>
      <w:r>
        <w:t xml:space="preserve">H334</w:t>
      </w:r>
      <w:r>
        <w:t xml:space="preserve"> </w:t>
      </w:r>
      <w:r>
        <w:t xml:space="preserve">Peut provoquer des symptômes allergiques ou d’asthme ou des difficultés respiratoires par inhalation.</w:t>
      </w:r>
    </w:p>
    <w:p>
      <w:pPr>
        <w:numPr>
          <w:ilvl w:val="0"/>
          <w:numId w:val="1012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12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2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6e-05</w:t>
            </w:r>
          </w:p>
        </w:tc>
      </w:tr>
    </w:tbl>
    <w:bookmarkStart w:id="3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9"/>
    <w:bookmarkEnd w:id="40"/>
    <w:bookmarkStart w:id="42" w:name="acide-citrique-monohydrate"/>
    <w:p>
      <w:pPr>
        <w:pStyle w:val="Heading3"/>
      </w:pPr>
      <w:r>
        <w:t xml:space="preserve">Acide citrique monohydrate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5949-29-1</w:t>
      </w:r>
    </w:p>
    <w:p>
      <w:pPr>
        <w:pStyle w:val="Compact"/>
        <w:numPr>
          <w:ilvl w:val="0"/>
          <w:numId w:val="1013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2.0 to 4.0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4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Start w:id="44" w:name="Xb8b7b8037c6babd8d11d6178cffe268b3dc9197"/>
    <w:p>
      <w:pPr>
        <w:pStyle w:val="Heading3"/>
      </w:pPr>
      <w:r>
        <w:t xml:space="preserve">Oxirane,2-méthyl-,polymère avec oxirane,mono(2-propylheptyl)éther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5"/>
        </w:numPr>
      </w:pPr>
      <w:r>
        <w:t xml:space="preserve">N° CAS : 166736-08-9</w:t>
      </w:r>
    </w:p>
    <w:p>
      <w:pPr>
        <w:pStyle w:val="Compact"/>
        <w:numPr>
          <w:ilvl w:val="0"/>
          <w:numId w:val="1015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6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3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3"/>
    <w:bookmarkEnd w:id="44"/>
    <w:bookmarkEnd w:id="45"/>
    <w:bookmarkStart w:id="46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 : PVC résistant chimiquement (selon la norme européenne EN 374 ou équivalent). - Épaisseur : non précisée dans le document. - Temps de pénétration : à déterminer avec le fabricant des gants. - Alternative : gants en caoutchouc nitrile.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Conformes à la norme ISO 16321‑1. - Protection oculaire contre les éclaboussures et les projections.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 : PVC résistant chimiquement (selon la norme européenne EN 374 ou équivalent). - Épaisseur : non précisée dans le document. - Temps de pénétration : à déterminer avec le fabricant des gants. - Alternative : gants en caoutchouc nitrile.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Type : appareil respiratoire avec filtre combiné vapeurs/particules (EN 141). - Spécificité : protection individuelle spéciale – appareil de protection respiratoire à filtre A/P2 pour vapeurs organiques et poussières nocives. - Condition : aucun équipement de protection respiratoire individuel n’est normalement nécessaire, mais à porter en cas de ventilation insuffisante.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Aucun vêtement de protection spécifique n’est requis selon le document.</w:t>
            </w:r>
          </w:p>
        </w:tc>
      </w:tr>
    </w:tbl>
    <w:bookmarkEnd w:id="46"/>
    <w:bookmarkStart w:id="47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Assurer une bonne ventilation du poste de travail. - Installer des rince‑œil de secours et des douches de sécurité à proximité de tout endroit où il y a risque d’exposition. - Porter un équipement de protection individuel. - Éviter le contact avec la peau et les yeux.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l’emballage d’origine, protéger du rayonnement solaire, conserver à température ambiante (5 – 35 °C) et stocker dans un endroit bien ventilé. Aucun incompatibilité n’est mentionnée.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Détergent pour lave‑vaisselle.</w:t>
            </w:r>
          </w:p>
        </w:tc>
      </w:tr>
    </w:tbl>
    <w:bookmarkEnd w:id="47"/>
    <w:bookmarkEnd w:id="48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2026-04-14T08:13:24Z</dcterms:created>
  <dcterms:modified xsi:type="dcterms:W3CDTF">2026-04-14T08:13:24Z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