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fds_greasepowergreenr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Werner &amp; Mertz Benelux S.A./N.V.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fds_greasepowergreenr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0" w:name="X327fe5d2fd4b82fdf1b5dabe299575aa6b93d16"/>
    <w:p>
      <w:pPr>
        <w:pStyle w:val="Heading1"/>
      </w:pPr>
      <w:r>
        <w:t xml:space="preserve">Analyse des dangers : fds_greasepowergreenr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fds_greasepowergreenr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Werner &amp; Mertz Benelux S.A./N.V.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13,2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nettoyage, réservé aux utilisateurs professionnels.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2023-04-09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2023-04-09. Elle a donc 3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P305+P351+P338+P310</w:t>
      </w:r>
      <w:r>
        <w:t xml:space="preserve"> </w:t>
      </w:r>
      <w:r>
        <w:t xml:space="preserve">EN CAS DE CONTACT AVEC LES YEUX: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8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Classe 8</w:t>
      </w:r>
    </w:p>
    <w:p>
      <w:pPr>
        <w:pStyle w:val="Compact"/>
        <w:numPr>
          <w:ilvl w:val="0"/>
          <w:numId w:val="1005"/>
        </w:numPr>
      </w:pPr>
      <w:r>
        <w:t xml:space="preserve">IATA : Classe 8</w:t>
      </w:r>
    </w:p>
    <w:p>
      <w:pPr>
        <w:pStyle w:val="Compact"/>
        <w:numPr>
          <w:ilvl w:val="0"/>
          <w:numId w:val="1005"/>
        </w:numPr>
      </w:pPr>
      <w:r>
        <w:t xml:space="preserve">UN : 3267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Oter immédiatement les vêtements et chaussures contaminés.</w:t>
      </w:r>
      <w:r>
        <w:t xml:space="preserve"> </w:t>
      </w:r>
      <w:r>
        <w:t xml:space="preserve">• Laver la zone affectée au savon avec une grande quantité d’eau.</w:t>
      </w:r>
    </w:p>
    <w:p>
      <w:pPr>
        <w:pStyle w:val="BodyText"/>
      </w:pPr>
      <w:r>
        <w:t xml:space="preserve">Le texte précise que les effets corrosifs cutanés non traités peuvent entraîner des blessures qui guérissent lentement et difficilement.</w:t>
      </w:r>
    </w:p>
    <w:p>
      <w:pPr>
        <w:pStyle w:val="BodyText"/>
      </w:pPr>
      <w:r>
        <w:t xml:space="preserve">eyes : • Protéger l’œil intact.</w:t>
      </w:r>
      <w:r>
        <w:t xml:space="preserve"> </w:t>
      </w:r>
      <w:r>
        <w:t xml:space="preserve">• Continuer à rincer les yeux durant le transport à l’hôpital.</w:t>
      </w:r>
    </w:p>
    <w:p>
      <w:pPr>
        <w:pStyle w:val="BodyText"/>
      </w:pPr>
      <w:r>
        <w:t xml:space="preserve">Le document indique que même de petites éclaboussures peuvent provoquer des lésions irréversibles des tissus et une cécité.</w:t>
      </w:r>
    </w:p>
    <w:p>
      <w:pPr>
        <w:pStyle w:val="BodyText"/>
      </w:pPr>
      <w:r>
        <w:t xml:space="preserve">ingestion : • Se rincer la bouche à l’eau puis boire beaucoup d’eau.</w:t>
      </w:r>
      <w:r>
        <w:t xml:space="preserve"> </w:t>
      </w:r>
      <w:r>
        <w:t xml:space="preserve">• Ne PAS faire vomir.</w:t>
      </w:r>
      <w:r>
        <w:t xml:space="preserve"> </w:t>
      </w:r>
      <w:r>
        <w:t xml:space="preserve">• Ne pas faire boire de lait ou de boissons alcoolisées.</w:t>
      </w:r>
      <w:r>
        <w:t xml:space="preserve"> </w:t>
      </w:r>
      <w:r>
        <w:t xml:space="preserve">• Ne jamais faire avaler à une personne inconsciente.</w:t>
      </w:r>
      <w:r>
        <w:t xml:space="preserve"> </w:t>
      </w:r>
      <w:r>
        <w:t xml:space="preserve">• Transporter immédiatement la victime à l’hôpital.</w:t>
      </w:r>
    </w:p>
    <w:p>
      <w:pPr>
        <w:pStyle w:val="BodyText"/>
      </w:pPr>
      <w:r>
        <w:t xml:space="preserve">inhalation : • Amener la victime à l’air libre.</w:t>
      </w:r>
      <w:r>
        <w:t xml:space="preserve"> </w:t>
      </w:r>
      <w:r>
        <w:t xml:space="preserve">• Consulter un médecin après toute exposition importante.</w:t>
      </w:r>
    </w:p>
    <w:p>
      <w:r>
        <w:br w:type="page"/>
      </w:r>
    </w:p>
    <w:bookmarkEnd w:id="34"/>
    <w:bookmarkStart w:id="6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méthyliminodiéthanol"/>
    <w:p>
      <w:pPr>
        <w:pStyle w:val="Heading3"/>
      </w:pPr>
      <w:r>
        <w:t xml:space="preserve">2,2’-méthyliminodiéthanol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105-59-9</w:t>
      </w:r>
    </w:p>
    <w:p>
      <w:pPr>
        <w:pStyle w:val="Compact"/>
        <w:numPr>
          <w:ilvl w:val="0"/>
          <w:numId w:val="1006"/>
        </w:numPr>
      </w:pPr>
      <w:r>
        <w:t xml:space="preserve">N° EINECS : 203-312-7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butoxypropane-2-ol"/>
    <w:p>
      <w:pPr>
        <w:pStyle w:val="Heading3"/>
      </w:pPr>
      <w:r>
        <w:t xml:space="preserve">1-butoxypropane-2-ol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5131-66-8</w:t>
      </w:r>
    </w:p>
    <w:p>
      <w:pPr>
        <w:pStyle w:val="Compact"/>
        <w:numPr>
          <w:ilvl w:val="0"/>
          <w:numId w:val="1008"/>
        </w:numPr>
      </w:pPr>
      <w:r>
        <w:t xml:space="preserve">N° EINECS : 225-878-4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X86db2b9343962317fd5c36cabc5a17736f745dc"/>
    <w:p>
      <w:pPr>
        <w:pStyle w:val="Heading3"/>
      </w:pPr>
      <w:r>
        <w:t xml:space="preserve">Decanol, ethoxylated (Decan-1-ol.ethoxylated)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26183-52-8</w:t>
      </w:r>
    </w:p>
    <w:p>
      <w:pPr>
        <w:pStyle w:val="Compact"/>
        <w:numPr>
          <w:ilvl w:val="0"/>
          <w:numId w:val="1010"/>
        </w:numPr>
      </w:pPr>
      <w:r>
        <w:t xml:space="preserve">N° EINECS : 500-046-6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Start w:id="42" w:name="sulfate-de-sodium-et-doctyle"/>
    <w:p>
      <w:pPr>
        <w:pStyle w:val="Heading3"/>
      </w:pPr>
      <w:r>
        <w:t xml:space="preserve">sulfate de sodium et d’octyle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142-31-4</w:t>
      </w:r>
    </w:p>
    <w:p>
      <w:pPr>
        <w:pStyle w:val="Compact"/>
        <w:numPr>
          <w:ilvl w:val="0"/>
          <w:numId w:val="1012"/>
        </w:numPr>
      </w:pPr>
      <w:r>
        <w:t xml:space="preserve">N° EINECS : 205-535-5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53" w:name="hydroxyde-de-sodium"/>
    <w:p>
      <w:pPr>
        <w:pStyle w:val="Heading3"/>
      </w:pPr>
      <w:r>
        <w:t xml:space="preserve">hydroxyde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1310-73-2</w:t>
      </w:r>
    </w:p>
    <w:p>
      <w:pPr>
        <w:pStyle w:val="Compact"/>
        <w:numPr>
          <w:ilvl w:val="0"/>
          <w:numId w:val="1014"/>
        </w:numPr>
      </w:pPr>
      <w:r>
        <w:t xml:space="preserve">N° EINECS : 215-185-5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15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5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52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3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16"/>
        </w:numPr>
      </w:pPr>
      <w:hyperlink r:id="rId44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6"/>
        </w:numPr>
      </w:pPr>
      <w:hyperlink r:id="rId45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6"/>
        </w:numPr>
      </w:pPr>
      <w:hyperlink r:id="rId46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6"/>
        </w:numPr>
      </w:pPr>
      <w:hyperlink r:id="rId47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16"/>
        </w:numPr>
      </w:pPr>
      <w:hyperlink r:id="rId48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6"/>
        </w:numPr>
      </w:pPr>
      <w:hyperlink r:id="rId49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6"/>
        </w:numPr>
      </w:pPr>
      <w:hyperlink r:id="rId50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6"/>
        </w:numPr>
      </w:pPr>
      <w:hyperlink r:id="rId51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2"/>
    <w:bookmarkEnd w:id="53"/>
    <w:bookmarkStart w:id="55" w:name="acide-silicique-sel-de-sodium"/>
    <w:p>
      <w:pPr>
        <w:pStyle w:val="Heading3"/>
      </w:pPr>
      <w:r>
        <w:t xml:space="preserve">acide silicique, sel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7"/>
        </w:numPr>
      </w:pPr>
      <w:r>
        <w:t xml:space="preserve">N° CAS : 1344-09-8</w:t>
      </w:r>
    </w:p>
    <w:p>
      <w:pPr>
        <w:pStyle w:val="Compact"/>
        <w:numPr>
          <w:ilvl w:val="0"/>
          <w:numId w:val="1017"/>
        </w:numPr>
      </w:pPr>
      <w:r>
        <w:t xml:space="preserve">N° EINECS : 215-687-4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8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8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4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4"/>
    <w:bookmarkEnd w:id="55"/>
    <w:bookmarkStart w:id="66" w:name="méthoxyméthylethoxypropanol"/>
    <w:p>
      <w:pPr>
        <w:pStyle w:val="Heading3"/>
      </w:pPr>
      <w:r>
        <w:t xml:space="preserve">(2-méthoxyméthylethoxy)propanol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9"/>
        </w:numPr>
      </w:pPr>
      <w:r>
        <w:t xml:space="preserve">N° CAS : 34590-94-8</w:t>
      </w:r>
    </w:p>
    <w:p>
      <w:pPr>
        <w:pStyle w:val="Compact"/>
        <w:numPr>
          <w:ilvl w:val="0"/>
          <w:numId w:val="1019"/>
        </w:numPr>
      </w:pPr>
      <w:r>
        <w:t xml:space="preserve">N° EINECS : 252-104-2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None</w:t>
            </w:r>
          </w:p>
        </w:tc>
      </w:tr>
    </w:tbl>
    <w:bookmarkStart w:id="65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6">
        <w:r>
          <w:rPr>
            <w:rStyle w:val="Hyperlink"/>
            <w:color w:val="0856A0"/>
            <w:u w:val="single"/>
          </w:rPr>
          <w:t xml:space="preserve">Fiche n°330 - (2-Méthoxyméthyléthoxy)propanol</w:t>
        </w:r>
      </w:hyperlink>
    </w:p>
    <w:p>
      <w:pPr>
        <w:numPr>
          <w:ilvl w:val="0"/>
          <w:numId w:val="1020"/>
        </w:numPr>
      </w:pPr>
      <w:hyperlink r:id="rId5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0"/>
        </w:numPr>
      </w:pPr>
      <w:hyperlink r:id="rId5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0"/>
        </w:numPr>
      </w:pPr>
      <w:hyperlink r:id="rId5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0"/>
        </w:numPr>
      </w:pPr>
      <w:hyperlink r:id="rId60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20"/>
        </w:numPr>
      </w:pPr>
      <w:hyperlink r:id="rId6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0"/>
        </w:numPr>
      </w:pPr>
      <w:hyperlink r:id="rId6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0"/>
        </w:numPr>
      </w:pPr>
      <w:hyperlink r:id="rId6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0"/>
        </w:numPr>
      </w:pPr>
      <w:hyperlink r:id="rId6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5"/>
    <w:bookmarkEnd w:id="66"/>
    <w:bookmarkEnd w:id="67"/>
    <w:bookmarkStart w:id="6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 : caoutchouc butyle ou caoutchouc nitrile.</w:t>
            </w:r>
            <w:r>
              <w:rPr>
                <w:sz w:val="20"/>
                <w:szCs w:val="20"/>
              </w:rPr>
              <w:t xml:space="preserve">- Catégorie : III conformément à la norme EN 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Protection des yeux et du visage contre les éclaboussures et projections.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 : caoutchouc butyle ou caoutchouc nitrile.</w:t>
            </w:r>
            <w:r>
              <w:rPr>
                <w:sz w:val="20"/>
                <w:szCs w:val="20"/>
              </w:rPr>
              <w:t xml:space="preserve">- Catégorie : III conformément à la norme EN 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Pas nécessaire en condition normale, sauf en cas de formation d’aérosols.</w:t>
            </w:r>
            <w:r>
              <w:rPr>
                <w:sz w:val="20"/>
                <w:szCs w:val="20"/>
              </w:rPr>
              <w:t xml:space="preserve">- Si requis, filtre recommandé : ABEK‑P3.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68"/>
    <w:bookmarkStart w:id="6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le contact avec la peau et les yeux. - Ne pas manger, fumer ou boire dans la zone de travail. - Pour éviter les renversements, maintenir le flacon dans une cuvette métallique. - Utiliser l’équipement de protection individuelle (voir rubrique 8).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le produit dans son conteneur d’origine. - Tenir le récipient bien fermé et stocker les conteneurs dans un endroit sec et bien aéré. - Refermer soigneusement tout récipient entamé et le stocker verticalement afin d’éviter tout écoulement. - Entreposer à température ambiante dans le récipient d’origine. - Le produit ne se décompose pas s’il est entreposé et utilisé conformément aux prescriptions de stabilité du stockage.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nettoyage, réservé aux utilisateurs professionnels.</w:t>
            </w:r>
          </w:p>
        </w:tc>
      </w:tr>
    </w:tbl>
    <w:bookmarkEnd w:id="69"/>
    <w:bookmarkEnd w:id="7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3" Type="http://schemas.openxmlformats.org/officeDocument/2006/relationships/hyperlink" Target="https://www.inrs.fr/publications/bdd/fichetox/fiche.html?refINRS=FICHETOX_20" TargetMode="External"/><Relationship Id="rId46" Type="http://schemas.openxmlformats.org/officeDocument/2006/relationships/hyperlink" Target="https://www.inrs.fr/publications/bdd/fichetox/fiche.html?refINRS=FICHETOX_20&amp;section=VLEPMesurage" TargetMode="External"/><Relationship Id="rId51" Type="http://schemas.openxmlformats.org/officeDocument/2006/relationships/hyperlink" Target="https://www.inrs.fr/publications/bdd/fichetox/fiche.html?refINRS=FICHETOX_20&amp;section=bibliographieAuteurs" TargetMode="External"/><Relationship Id="rId45" Type="http://schemas.openxmlformats.org/officeDocument/2006/relationships/hyperlink" Target="https://www.inrs.fr/publications/bdd/fichetox/fiche.html?refINRS=FICHETOX_20&amp;section=caracteristiques" TargetMode="External"/><Relationship Id="rId44" Type="http://schemas.openxmlformats.org/officeDocument/2006/relationships/hyperlink" Target="https://www.inrs.fr/publications/bdd/fichetox/fiche.html?refINRS=FICHETOX_20&amp;section=generalites" TargetMode="External"/><Relationship Id="rId47" Type="http://schemas.openxmlformats.org/officeDocument/2006/relationships/hyperlink" Target="https://www.inrs.fr/publications/bdd/fichetox/fiche.html?refINRS=FICHETOX_20&amp;section=incendieExplosion" TargetMode="External"/><Relationship Id="rId48" Type="http://schemas.openxmlformats.org/officeDocument/2006/relationships/hyperlink" Target="https://www.inrs.fr/publications/bdd/fichetox/fiche.html?refINRS=FICHETOX_20&amp;section=pathologieToxicologie" TargetMode="External"/><Relationship Id="rId50" Type="http://schemas.openxmlformats.org/officeDocument/2006/relationships/hyperlink" Target="https://www.inrs.fr/publications/bdd/fichetox/fiche.html?refINRS=FICHETOX_20&amp;section=recommandations" TargetMode="External"/><Relationship Id="rId49" Type="http://schemas.openxmlformats.org/officeDocument/2006/relationships/hyperlink" Target="https://www.inrs.fr/publications/bdd/fichetox/fiche.html?refINRS=FICHETOX_20&amp;section=reglementation" TargetMode="External"/><Relationship Id="rId56" Type="http://schemas.openxmlformats.org/officeDocument/2006/relationships/hyperlink" Target="https://www.inrs.fr/publications/bdd/fichetox/fiche.html?refINRS=FICHETOX_330" TargetMode="External"/><Relationship Id="rId59" Type="http://schemas.openxmlformats.org/officeDocument/2006/relationships/hyperlink" Target="https://www.inrs.fr/publications/bdd/fichetox/fiche.html?refINRS=FICHETOX_330&amp;section=VLEPMesurage" TargetMode="External"/><Relationship Id="rId64" Type="http://schemas.openxmlformats.org/officeDocument/2006/relationships/hyperlink" Target="https://www.inrs.fr/publications/bdd/fichetox/fiche.html?refINRS=FICHETOX_330&amp;section=bibliographieAuteurs" TargetMode="External"/><Relationship Id="rId58" Type="http://schemas.openxmlformats.org/officeDocument/2006/relationships/hyperlink" Target="https://www.inrs.fr/publications/bdd/fichetox/fiche.html?refINRS=FICHETOX_330&amp;section=caracteristiques" TargetMode="External"/><Relationship Id="rId57" Type="http://schemas.openxmlformats.org/officeDocument/2006/relationships/hyperlink" Target="https://www.inrs.fr/publications/bdd/fichetox/fiche.html?refINRS=FICHETOX_330&amp;section=generalites" TargetMode="External"/><Relationship Id="rId60" Type="http://schemas.openxmlformats.org/officeDocument/2006/relationships/hyperlink" Target="https://www.inrs.fr/publications/bdd/fichetox/fiche.html?refINRS=FICHETOX_330&amp;section=incendieExplosion" TargetMode="External"/><Relationship Id="rId61" Type="http://schemas.openxmlformats.org/officeDocument/2006/relationships/hyperlink" Target="https://www.inrs.fr/publications/bdd/fichetox/fiche.html?refINRS=FICHETOX_330&amp;section=pathologieToxicologie" TargetMode="External"/><Relationship Id="rId63" Type="http://schemas.openxmlformats.org/officeDocument/2006/relationships/hyperlink" Target="https://www.inrs.fr/publications/bdd/fichetox/fiche.html?refINRS=FICHETOX_330&amp;section=recommandations" TargetMode="External"/><Relationship Id="rId62" Type="http://schemas.openxmlformats.org/officeDocument/2006/relationships/hyperlink" Target="https://www.inrs.fr/publications/bdd/fichetox/fiche.html?refINRS=FICHETOX_33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3" Type="http://schemas.openxmlformats.org/officeDocument/2006/relationships/hyperlink" Target="https://www.inrs.fr/publications/bdd/fichetox/fiche.html?refINRS=FICHETOX_20" TargetMode="External"/><Relationship Id="rId46" Type="http://schemas.openxmlformats.org/officeDocument/2006/relationships/hyperlink" Target="https://www.inrs.fr/publications/bdd/fichetox/fiche.html?refINRS=FICHETOX_20&amp;section=VLEPMesurage" TargetMode="External"/><Relationship Id="rId51" Type="http://schemas.openxmlformats.org/officeDocument/2006/relationships/hyperlink" Target="https://www.inrs.fr/publications/bdd/fichetox/fiche.html?refINRS=FICHETOX_20&amp;section=bibliographieAuteurs" TargetMode="External"/><Relationship Id="rId45" Type="http://schemas.openxmlformats.org/officeDocument/2006/relationships/hyperlink" Target="https://www.inrs.fr/publications/bdd/fichetox/fiche.html?refINRS=FICHETOX_20&amp;section=caracteristiques" TargetMode="External"/><Relationship Id="rId44" Type="http://schemas.openxmlformats.org/officeDocument/2006/relationships/hyperlink" Target="https://www.inrs.fr/publications/bdd/fichetox/fiche.html?refINRS=FICHETOX_20&amp;section=generalites" TargetMode="External"/><Relationship Id="rId47" Type="http://schemas.openxmlformats.org/officeDocument/2006/relationships/hyperlink" Target="https://www.inrs.fr/publications/bdd/fichetox/fiche.html?refINRS=FICHETOX_20&amp;section=incendieExplosion" TargetMode="External"/><Relationship Id="rId48" Type="http://schemas.openxmlformats.org/officeDocument/2006/relationships/hyperlink" Target="https://www.inrs.fr/publications/bdd/fichetox/fiche.html?refINRS=FICHETOX_20&amp;section=pathologieToxicologie" TargetMode="External"/><Relationship Id="rId50" Type="http://schemas.openxmlformats.org/officeDocument/2006/relationships/hyperlink" Target="https://www.inrs.fr/publications/bdd/fichetox/fiche.html?refINRS=FICHETOX_20&amp;section=recommandations" TargetMode="External"/><Relationship Id="rId49" Type="http://schemas.openxmlformats.org/officeDocument/2006/relationships/hyperlink" Target="https://www.inrs.fr/publications/bdd/fichetox/fiche.html?refINRS=FICHETOX_20&amp;section=reglementation" TargetMode="External"/><Relationship Id="rId56" Type="http://schemas.openxmlformats.org/officeDocument/2006/relationships/hyperlink" Target="https://www.inrs.fr/publications/bdd/fichetox/fiche.html?refINRS=FICHETOX_330" TargetMode="External"/><Relationship Id="rId59" Type="http://schemas.openxmlformats.org/officeDocument/2006/relationships/hyperlink" Target="https://www.inrs.fr/publications/bdd/fichetox/fiche.html?refINRS=FICHETOX_330&amp;section=VLEPMesurage" TargetMode="External"/><Relationship Id="rId64" Type="http://schemas.openxmlformats.org/officeDocument/2006/relationships/hyperlink" Target="https://www.inrs.fr/publications/bdd/fichetox/fiche.html?refINRS=FICHETOX_330&amp;section=bibliographieAuteurs" TargetMode="External"/><Relationship Id="rId58" Type="http://schemas.openxmlformats.org/officeDocument/2006/relationships/hyperlink" Target="https://www.inrs.fr/publications/bdd/fichetox/fiche.html?refINRS=FICHETOX_330&amp;section=caracteristiques" TargetMode="External"/><Relationship Id="rId57" Type="http://schemas.openxmlformats.org/officeDocument/2006/relationships/hyperlink" Target="https://www.inrs.fr/publications/bdd/fichetox/fiche.html?refINRS=FICHETOX_330&amp;section=generalites" TargetMode="External"/><Relationship Id="rId60" Type="http://schemas.openxmlformats.org/officeDocument/2006/relationships/hyperlink" Target="https://www.inrs.fr/publications/bdd/fichetox/fiche.html?refINRS=FICHETOX_330&amp;section=incendieExplosion" TargetMode="External"/><Relationship Id="rId61" Type="http://schemas.openxmlformats.org/officeDocument/2006/relationships/hyperlink" Target="https://www.inrs.fr/publications/bdd/fichetox/fiche.html?refINRS=FICHETOX_330&amp;section=pathologieToxicologie" TargetMode="External"/><Relationship Id="rId63" Type="http://schemas.openxmlformats.org/officeDocument/2006/relationships/hyperlink" Target="https://www.inrs.fr/publications/bdd/fichetox/fiche.html?refINRS=FICHETOX_330&amp;section=recommandations" TargetMode="External"/><Relationship Id="rId62" Type="http://schemas.openxmlformats.org/officeDocument/2006/relationships/hyperlink" Target="https://www.inrs.fr/publications/bdd/fichetox/fiche.html?refINRS=FICHETOX_33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2026-04-14T08:47:00Z</dcterms:created>
  <dcterms:modified xsi:type="dcterms:W3CDTF">2026-04-14T08:47:00Z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