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fds_manudishoriginalgreencare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Werner &amp; Mertz Benelux S.A./N.V.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fds_manudishoriginalgreencare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4" w:name="X336b3e37a07b70c30cb1981493b41a867297de4"/>
    <w:p>
      <w:pPr>
        <w:pStyle w:val="Heading1"/>
      </w:pPr>
      <w:r>
        <w:t xml:space="preserve">Analyse des dangers : fds_manudishoriginalgreencare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fds_manudishoriginalgreencare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Werner &amp; Mertz Benelux S.A./N.V.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visqueux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nettoyage ; réservé aux utilisateurs professionnels.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2025-04-15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2025-04-15.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Marchandise non dangereuse</w:t>
      </w:r>
    </w:p>
    <w:p>
      <w:pPr>
        <w:pStyle w:val="Compact"/>
        <w:numPr>
          <w:ilvl w:val="0"/>
          <w:numId w:val="1005"/>
        </w:numPr>
      </w:pPr>
      <w:r>
        <w:t xml:space="preserve">RID : pas disponible</w:t>
      </w:r>
    </w:p>
    <w:p>
      <w:pPr>
        <w:pStyle w:val="Compact"/>
        <w:numPr>
          <w:ilvl w:val="0"/>
          <w:numId w:val="1005"/>
        </w:numPr>
      </w:pPr>
      <w:r>
        <w:t xml:space="preserve">ADN : pas disponible</w:t>
      </w:r>
    </w:p>
    <w:p>
      <w:pPr>
        <w:pStyle w:val="Compact"/>
        <w:numPr>
          <w:ilvl w:val="0"/>
          <w:numId w:val="1005"/>
        </w:numPr>
      </w:pPr>
      <w:r>
        <w:t xml:space="preserve">IMDG : Marchandise non dangereuse</w:t>
      </w:r>
    </w:p>
    <w:p>
      <w:pPr>
        <w:pStyle w:val="Compact"/>
        <w:numPr>
          <w:ilvl w:val="0"/>
          <w:numId w:val="1005"/>
        </w:numPr>
      </w:pPr>
      <w:r>
        <w:t xml:space="preserve">IATA : Marchandise non dangereuse</w:t>
      </w:r>
    </w:p>
    <w:p>
      <w:pPr>
        <w:pStyle w:val="Compact"/>
        <w:numPr>
          <w:ilvl w:val="0"/>
          <w:numId w:val="1005"/>
        </w:numPr>
      </w:pPr>
      <w:r>
        <w:t xml:space="preserve">UN : pas disponible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• Oter immédiatement les vêtements et les chaussures contaminés.</w:t>
      </w:r>
      <w:r>
        <w:t xml:space="preserve"> </w:t>
      </w:r>
      <w:r>
        <w:t xml:space="preserve">• Laver la zone avec du savon et une grande quantité d’eau.</w:t>
      </w:r>
      <w:r>
        <w:t xml:space="preserve"> </w:t>
      </w:r>
      <w:r>
        <w:t xml:space="preserve">• Si les troubles se prolongent, consulter un médecin.</w:t>
      </w:r>
    </w:p>
    <w:p>
      <w:pPr>
        <w:pStyle w:val="BodyText"/>
      </w:pPr>
      <w:r>
        <w:t xml:space="preserve">eyes : • Protéger l’œil intact.</w:t>
      </w:r>
      <w:r>
        <w:t xml:space="preserve"> </w:t>
      </w:r>
      <w:r>
        <w:t xml:space="preserve">• Retirer les lentilles de contact si possible.</w:t>
      </w:r>
      <w:r>
        <w:t xml:space="preserve"> </w:t>
      </w:r>
      <w:r>
        <w:t xml:space="preserve">• Rincer immédiatement et abondamment à l’eau, y compris sous les paupières, pendant au moins 15 minutes.</w:t>
      </w:r>
      <w:r>
        <w:t xml:space="preserve"> </w:t>
      </w:r>
      <w:r>
        <w:t xml:space="preserve">• Si l’irritation oculaire persiste, consulter un médecin spécialiste.</w:t>
      </w:r>
    </w:p>
    <w:p>
      <w:pPr>
        <w:pStyle w:val="BodyText"/>
      </w:pPr>
      <w:r>
        <w:t xml:space="preserve">ingestion : • Se rincer la bouche à l’eau puis boire beaucoup d’eau.</w:t>
      </w:r>
      <w:r>
        <w:t xml:space="preserve"> </w:t>
      </w:r>
      <w:r>
        <w:t xml:space="preserve">• Ne pas faire boire de lait ou de boissons alcoolisées.</w:t>
      </w:r>
      <w:r>
        <w:t xml:space="preserve"> </w:t>
      </w:r>
      <w:r>
        <w:t xml:space="preserve">• Ne jamais faire avaler à une personne inconsciente.</w:t>
      </w:r>
      <w:r>
        <w:t xml:space="preserve"> </w:t>
      </w:r>
      <w:r>
        <w:t xml:space="preserve">• Appeler un médecin.</w:t>
      </w:r>
    </w:p>
    <w:p>
      <w:pPr>
        <w:pStyle w:val="BodyText"/>
      </w:pPr>
      <w:r>
        <w:t xml:space="preserve">inhalation : • Amener la victime à l’air libre.</w:t>
      </w:r>
      <w:r>
        <w:t xml:space="preserve"> </w:t>
      </w:r>
      <w:r>
        <w:t xml:space="preserve">• Si les troubles se prolongent, consulter un médecin.</w:t>
      </w:r>
    </w:p>
    <w:p>
      <w:r>
        <w:br w:type="page"/>
      </w:r>
    </w:p>
    <w:bookmarkEnd w:id="34"/>
    <w:bookmarkStart w:id="41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X039c486f2c20cc7f77737f9df503e7dbbe5f3cc"/>
    <w:p>
      <w:pPr>
        <w:pStyle w:val="Heading3"/>
      </w:pPr>
      <w:r>
        <w:t xml:space="preserve">Alcohols, C12-14, ethoxylated, sulfates, sodium salts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68891-38-3</w:t>
      </w:r>
    </w:p>
    <w:p>
      <w:pPr>
        <w:pStyle w:val="Compact"/>
        <w:numPr>
          <w:ilvl w:val="0"/>
          <w:numId w:val="1006"/>
        </w:numPr>
      </w:pPr>
      <w:r>
        <w:t xml:space="preserve">N° EINECS : 500-234-8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7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X9803427827acb32137408ebe2a59c6ab3520ba2"/>
    <w:p>
      <w:pPr>
        <w:pStyle w:val="Heading3"/>
      </w:pPr>
      <w:r>
        <w:t xml:space="preserve">1-Propanaminium, 3-amino-N-(carboxymethyl)-N,N-dimethyl-, N-(C8-18 and C18-unsatd. acyl) derivs., hydroxides, inner salts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147170-44-3</w:t>
      </w:r>
    </w:p>
    <w:p>
      <w:pPr>
        <w:pStyle w:val="Compact"/>
        <w:numPr>
          <w:ilvl w:val="0"/>
          <w:numId w:val="1008"/>
        </w:numPr>
      </w:pPr>
      <w:r>
        <w:t xml:space="preserve">N° EINECS : 931-333-8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3.0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9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0" w:name="X4affb82be29267dc947e0e2b2cd7494e30cfcb4"/>
    <w:p>
      <w:pPr>
        <w:pStyle w:val="Heading3"/>
      </w:pPr>
      <w:r>
        <w:t xml:space="preserve">D-Glucopyranose, oligomeric, C10-16-alkyl glycosides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110615-47-9</w:t>
      </w:r>
    </w:p>
    <w:p>
      <w:pPr>
        <w:pStyle w:val="Compact"/>
        <w:numPr>
          <w:ilvl w:val="0"/>
          <w:numId w:val="1010"/>
        </w:numPr>
      </w:pPr>
      <w:r>
        <w:t xml:space="preserve">N° EINECS : 600-975-8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1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9"/>
    <w:bookmarkEnd w:id="40"/>
    <w:bookmarkEnd w:id="41"/>
    <w:bookmarkStart w:id="42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 : caoutchouc butyle ou caoutchouc nitrile.</w:t>
            </w:r>
            <w:r>
              <w:rPr>
                <w:sz w:val="20"/>
                <w:szCs w:val="20"/>
              </w:rPr>
              <w:t xml:space="preserve">- Catégorie : III conformément à la norme EN 374.</w:t>
            </w:r>
            <w:r>
              <w:rPr>
                <w:sz w:val="20"/>
                <w:szCs w:val="20"/>
              </w:rPr>
              <w:t xml:space="preserve">- Pas d’indication d’épaisseur ou de temps de pénétration dans le texte fourni.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Protection des yeux et du visage contre les éclaboussures.</w:t>
            </w:r>
            <w:r>
              <w:rPr>
                <w:sz w:val="20"/>
                <w:szCs w:val="20"/>
              </w:rPr>
              <w:t xml:space="preserve">- Pas de modèle ou de matériau précis mentionné dans le document.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Matériau : caoutchouc butyle ou caoutchouc nitrile.</w:t>
            </w:r>
            <w:r>
              <w:rPr>
                <w:sz w:val="20"/>
                <w:szCs w:val="20"/>
              </w:rPr>
              <w:t xml:space="preserve">- Catégorie : III conformément à la norme EN 374.</w:t>
            </w:r>
            <w:r>
              <w:rPr>
                <w:sz w:val="20"/>
                <w:szCs w:val="20"/>
              </w:rPr>
              <w:t xml:space="preserve">- Pas d’indication d’épaisseur ou de temps de pénétration dans le texte fourni.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Pas nécessaire en conditions normales d’utilisation, sauf en cas de formation d’aérosols.</w:t>
            </w:r>
            <w:r>
              <w:rPr>
                <w:sz w:val="20"/>
                <w:szCs w:val="20"/>
              </w:rPr>
              <w:t xml:space="preserve">- Si nécessaire, filtre recommandé : ABEK‑P3.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42"/>
    <w:bookmarkStart w:id="43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Éviter le contact avec la peau et les yeux. - Ne pas manger, fumer ou boire dans la zone de travail. - Éliminer l’eau de rinçage conformément aux réglementations locales et nationales. - Utiliser l’équipement de protection individuelle (voir rubrique 8).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dans le conteneur d’origine. - Tenir le récipient bien fermé. - Stocker dans un endroit sec et bien aéré. - Entreposer à température ambiante dans le récipient d’origine.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nettoyage ; réservé aux utilisateurs professionnels.</w:t>
            </w:r>
          </w:p>
        </w:tc>
      </w:tr>
    </w:tbl>
    <w:bookmarkEnd w:id="43"/>
    <w:bookmarkEnd w:id="44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2026-04-14T08:56:47Z</dcterms:created>
  <dcterms:modified xsi:type="dcterms:W3CDTF">2026-04-14T08:56:47Z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