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fds_sunprofessionnaldishwashsalt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Diversey Europe Operations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fds_sunprofessionnaldishwashsalt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7" w:name="X8085c811a9b409fd38e340e5d703d3649eccf55"/>
    <w:p>
      <w:pPr>
        <w:pStyle w:val="Heading1"/>
      </w:pPr>
      <w:r>
        <w:t xml:space="preserve">Analyse des dangers : fds_sunprofessionnaldishwashsalt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fds_sunprofessionnaldishwashsalt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Diversey Europe Operations BV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solide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lavage de la vaisselle.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2021-06-06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2021-06-06.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P102</w:t>
      </w:r>
      <w:r>
        <w:t xml:space="preserve"> </w:t>
      </w:r>
      <w:r>
        <w:t xml:space="preserve">Tenir hors de portée des enfants.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Marchandises non‑dangereuses</w:t>
      </w:r>
    </w:p>
    <w:p>
      <w:pPr>
        <w:pStyle w:val="Compact"/>
        <w:numPr>
          <w:ilvl w:val="0"/>
          <w:numId w:val="1004"/>
        </w:numPr>
      </w:pPr>
      <w:r>
        <w:t xml:space="preserve">RID : Marchandises non‑dangereuses</w:t>
      </w:r>
    </w:p>
    <w:p>
      <w:pPr>
        <w:pStyle w:val="Compact"/>
        <w:numPr>
          <w:ilvl w:val="0"/>
          <w:numId w:val="1004"/>
        </w:numPr>
      </w:pPr>
      <w:r>
        <w:t xml:space="preserve">ADN : pas disponible</w:t>
      </w:r>
    </w:p>
    <w:p>
      <w:pPr>
        <w:pStyle w:val="Compact"/>
        <w:numPr>
          <w:ilvl w:val="0"/>
          <w:numId w:val="1004"/>
        </w:numPr>
      </w:pPr>
      <w:r>
        <w:t xml:space="preserve">IMDG : Marchandises non‑dangereuses</w:t>
      </w:r>
    </w:p>
    <w:p>
      <w:pPr>
        <w:pStyle w:val="Compact"/>
        <w:numPr>
          <w:ilvl w:val="0"/>
          <w:numId w:val="1004"/>
        </w:numPr>
      </w:pPr>
      <w:r>
        <w:t xml:space="preserve">IATA : Marchandises non‑dangereuses</w:t>
      </w:r>
    </w:p>
    <w:p>
      <w:pPr>
        <w:pStyle w:val="Compact"/>
        <w:numPr>
          <w:ilvl w:val="0"/>
          <w:numId w:val="1004"/>
        </w:numPr>
      </w:pPr>
      <w:r>
        <w:t xml:space="preserve">UN : pas disponible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la peau avec beaucoup d’eau tiède, à faible débit. En cas d’irritation cutanée, consulter un médecin.</w:t>
      </w:r>
    </w:p>
    <w:p>
      <w:pPr>
        <w:pStyle w:val="BodyText"/>
      </w:pPr>
      <w:r>
        <w:t xml:space="preserve">eyes : Rincer avec précaution à l’eau pendant plusieurs minutes. Si l’irritation survient et persiste, faire appel à une assistance médicale.</w:t>
      </w:r>
    </w:p>
    <w:p>
      <w:pPr>
        <w:pStyle w:val="BodyText"/>
      </w:pPr>
      <w:r>
        <w:t xml:space="preserve">ingestion : Rincer la bouche. Boire immédiatement un verre d’eau. Ne jamais faire ingérer quoi que ce soit à une personne inconsciente. Consulter un médecin en cas de malaise.</w:t>
      </w:r>
    </w:p>
    <w:p>
      <w:pPr>
        <w:pStyle w:val="BodyText"/>
      </w:pPr>
      <w:r>
        <w:t xml:space="preserve">inhalation : Consulter un médecin en cas de malaise.</w:t>
      </w:r>
    </w:p>
    <w:p>
      <w:r>
        <w:br w:type="page"/>
      </w:r>
    </w:p>
    <w:bookmarkEnd w:id="31"/>
    <w:bookmarkStart w:id="34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chlorure-de-sodium"/>
    <w:p>
      <w:pPr>
        <w:pStyle w:val="Heading3"/>
      </w:pPr>
      <w:r>
        <w:t xml:space="preserve">chlorure de sodium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7647-14-5</w:t>
      </w:r>
    </w:p>
    <w:p>
      <w:pPr>
        <w:pStyle w:val="Compact"/>
        <w:numPr>
          <w:ilvl w:val="0"/>
          <w:numId w:val="1005"/>
        </w:numPr>
      </w:pPr>
      <w:r>
        <w:t xml:space="preserve">N° EINECS : 231-598-3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:greater or equal to 75.0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End w:id="34"/>
    <w:bookmarkStart w:id="35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Gants (main) - Aucune exigence particulière – aucune mention de type, matériau, épaisseur ou durée de perçage.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Vêtements de protection / combinaisons - Aucune exigence particulière – aucune spécification de matériau, de coupe ou de protection.</w:t>
            </w:r>
          </w:p>
        </w:tc>
      </w:tr>
    </w:tbl>
    <w:bookmarkEnd w:id="35"/>
    <w:bookmarkStart w:id="36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Pas de précautions spéciales requises pour prévenir les incendies et explosions. - Tenir hors de portée des enfants. - Ne pas mélanger avec d’autres produits sauf avis contraire de Diversey. - Se laver soigneusement les mains après manipulation.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Stocker conformément aux réglementations locales et nationales. - Conserver uniquement dans l’emballage d’origine. - Tenir hors de portée des enfants.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Produit de lavage de la vaisselle.</w:t>
            </w:r>
          </w:p>
        </w:tc>
      </w:tr>
    </w:tbl>
    <w:bookmarkEnd w:id="36"/>
    <w:bookmarkEnd w:id="37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2026-04-14T09:03:05Z</dcterms:created>
  <dcterms:modified xsi:type="dcterms:W3CDTF">2026-04-14T09:03:05Z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