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fds_wurthnettoyantsprayalu-inox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Würth France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2026-04-14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fds_wurthnettoyantsprayalu-inox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92" w:name="Xbc5ce33a8d83843b2427e83b2500c6153313316"/>
    <w:p>
      <w:pPr>
        <w:pStyle w:val="Heading1"/>
      </w:pPr>
      <w:r>
        <w:t xml:space="preserve">Analyse des dangers : fds_wurthnettoyantsprayalu-inox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fds_wurthnettoyantsprayalu-inox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Würth France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aérosol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Aérosol contenant un gaz liquéfié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10,5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de nettoyage, détergent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2025-12-09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2025-12-09. Elle a donc 0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a identifié les erreurs de classification potentielles suivantes dans la FDS :</w:t>
      </w:r>
    </w:p>
    <w:p>
      <w:pPr>
        <w:pStyle w:val="Compact"/>
        <w:numPr>
          <w:ilvl w:val="0"/>
          <w:numId w:val="1003"/>
        </w:numPr>
      </w:pPr>
      <w:r>
        <w:t xml:space="preserve">La substance Butane devrait être classée H220 selon les dernières classifications harmonisées publiées par l’ECHA.</w:t>
      </w:r>
    </w:p>
    <w:bookmarkEnd w:id="28"/>
    <w:bookmarkEnd w:id="29"/>
    <w:bookmarkStart w:id="39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Inflammable" title="" id="31" name="Picture"/>
            <a:graphic>
              <a:graphicData uri="http://schemas.openxmlformats.org/drawingml/2006/picture">
                <pic:pic>
                  <pic:nvPicPr>
                    <pic:cNvPr descr="templates/SGH02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Inflammable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Corrosif" title="" id="34" name="Picture"/>
            <a:graphic>
              <a:graphicData uri="http://schemas.openxmlformats.org/drawingml/2006/picture">
                <pic:pic>
                  <pic:nvPicPr>
                    <pic:cNvPr descr="templates/SGH05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Corrosif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7" name="Picture"/>
            <a:graphic>
              <a:graphicData uri="http://schemas.openxmlformats.org/drawingml/2006/picture">
                <pic:pic>
                  <pic:nvPicPr>
                    <pic:cNvPr descr="templates/SGH07.png" id="38" name="Picture"/>
                    <pic:cNvPicPr>
                      <a:picLocks noChangeArrowheads="1"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H229</w:t>
      </w:r>
      <w:r>
        <w:t xml:space="preserve"> </w:t>
      </w:r>
      <w:r>
        <w:t xml:space="preserve">Pressurised container: May burst if heated</w:t>
      </w:r>
    </w:p>
    <w:p>
      <w:pPr>
        <w:numPr>
          <w:ilvl w:val="0"/>
          <w:numId w:val="1004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4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04"/>
        </w:numPr>
      </w:pPr>
      <w:r>
        <w:t xml:space="preserve">EUH430</w:t>
      </w:r>
      <w:r>
        <w:t xml:space="preserve"> </w:t>
      </w:r>
      <w:r>
        <w:t xml:space="preserve">May cause endocrine disruption in the environment</w:t>
      </w:r>
    </w:p>
    <w:p>
      <w:pPr>
        <w:numPr>
          <w:ilvl w:val="0"/>
          <w:numId w:val="1004"/>
        </w:numPr>
      </w:pPr>
      <w:r>
        <w:t xml:space="preserve">EUH450</w:t>
      </w:r>
      <w:r>
        <w:t xml:space="preserve"> </w:t>
      </w:r>
      <w:r>
        <w:t xml:space="preserve">Can cause long-lasting and diffuse contamination of water resources</w:t>
      </w:r>
    </w:p>
    <w:p>
      <w:pPr>
        <w:numPr>
          <w:ilvl w:val="0"/>
          <w:numId w:val="1004"/>
        </w:numPr>
      </w:pPr>
      <w:r>
        <w:t xml:space="preserve">EUH451</w:t>
      </w:r>
      <w:r>
        <w:t xml:space="preserve"> </w:t>
      </w:r>
      <w:r>
        <w:t xml:space="preserve">Can cause very long-lasting and diffuse contamination of water resources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5"/>
        </w:numPr>
      </w:pPr>
      <w:r>
        <w:t xml:space="preserve">P201</w:t>
      </w:r>
      <w:r>
        <w:t xml:space="preserve"> </w:t>
      </w:r>
      <w:r>
        <w:t xml:space="preserve">Se procurer les instructions avant utilisation.</w:t>
      </w:r>
    </w:p>
    <w:p>
      <w:pPr>
        <w:numPr>
          <w:ilvl w:val="0"/>
          <w:numId w:val="1005"/>
        </w:numPr>
      </w:pPr>
      <w:r>
        <w:t xml:space="preserve">P202</w:t>
      </w:r>
      <w:r>
        <w:t xml:space="preserve"> </w:t>
      </w:r>
      <w:r>
        <w:t xml:space="preserve">Ne pas manipuler avant d’avoir lu et compris toutes les précautions de sécurité.</w:t>
      </w:r>
    </w:p>
    <w:p>
      <w:pPr>
        <w:numPr>
          <w:ilvl w:val="0"/>
          <w:numId w:val="1005"/>
        </w:numPr>
      </w:pPr>
      <w:r>
        <w:t xml:space="preserve">P210</w:t>
      </w:r>
      <w:r>
        <w:t xml:space="preserve"> </w:t>
      </w:r>
      <w:r>
        <w:t xml:space="preserve">P210</w:t>
      </w:r>
    </w:p>
    <w:p>
      <w:pPr>
        <w:numPr>
          <w:ilvl w:val="0"/>
          <w:numId w:val="1005"/>
        </w:numPr>
      </w:pPr>
      <w:r>
        <w:t xml:space="preserve">P211</w:t>
      </w:r>
      <w:r>
        <w:t xml:space="preserve"> </w:t>
      </w:r>
      <w:r>
        <w:t xml:space="preserve">Ne pas vaporiser sur une flamme nue ou sur toute autre source d’ignition.</w:t>
      </w:r>
    </w:p>
    <w:p>
      <w:pPr>
        <w:numPr>
          <w:ilvl w:val="0"/>
          <w:numId w:val="1005"/>
        </w:numPr>
      </w:pPr>
      <w:r>
        <w:t xml:space="preserve">P251</w:t>
      </w:r>
      <w:r>
        <w:t xml:space="preserve"> </w:t>
      </w:r>
      <w:r>
        <w:t xml:space="preserve">P251</w:t>
      </w:r>
    </w:p>
    <w:p>
      <w:pPr>
        <w:numPr>
          <w:ilvl w:val="0"/>
          <w:numId w:val="1005"/>
        </w:numPr>
      </w:pPr>
      <w:r>
        <w:t xml:space="preserve">P273</w:t>
      </w:r>
      <w:r>
        <w:t xml:space="preserve"> </w:t>
      </w:r>
      <w:r>
        <w:t xml:space="preserve">Éviter le rejet dans l’environnement.</w:t>
      </w:r>
    </w:p>
    <w:p>
      <w:pPr>
        <w:numPr>
          <w:ilvl w:val="0"/>
          <w:numId w:val="1005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5"/>
        </w:numPr>
      </w:pPr>
      <w:r>
        <w:t xml:space="preserve">P305+P351+P338+P310</w:t>
      </w:r>
      <w:r>
        <w:t xml:space="preserve"> </w:t>
      </w:r>
      <w:r>
        <w:t xml:space="preserve">EN CAS DE CONTACT AVEC LES YEUX:</w:t>
      </w:r>
    </w:p>
    <w:p>
      <w:pPr>
        <w:numPr>
          <w:ilvl w:val="0"/>
          <w:numId w:val="1005"/>
        </w:numPr>
      </w:pPr>
      <w:r>
        <w:t xml:space="preserve">P391</w:t>
      </w:r>
      <w:r>
        <w:t xml:space="preserve"> </w:t>
      </w:r>
      <w:r>
        <w:t xml:space="preserve">Recueillir le produit répandu.</w:t>
      </w:r>
    </w:p>
    <w:p>
      <w:pPr>
        <w:numPr>
          <w:ilvl w:val="0"/>
          <w:numId w:val="1005"/>
        </w:numPr>
      </w:pPr>
      <w:r>
        <w:t xml:space="preserve">P405</w:t>
      </w:r>
      <w:r>
        <w:t xml:space="preserve"> </w:t>
      </w:r>
      <w:r>
        <w:t xml:space="preserve">Garder sous clef.</w:t>
      </w:r>
    </w:p>
    <w:p>
      <w:pPr>
        <w:numPr>
          <w:ilvl w:val="0"/>
          <w:numId w:val="1005"/>
        </w:numPr>
      </w:pPr>
      <w:r>
        <w:t xml:space="preserve">P410+P412</w:t>
      </w:r>
      <w:r>
        <w:t xml:space="preserve"> </w:t>
      </w:r>
      <w:r>
        <w:t xml:space="preserve">Protéger du rayonnement solaire.</w:t>
      </w:r>
    </w:p>
    <w:p>
      <w:pPr>
        <w:numPr>
          <w:ilvl w:val="0"/>
          <w:numId w:val="1005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6"/>
        </w:numPr>
      </w:pPr>
      <w:r>
        <w:t xml:space="preserve">ADR : 2.1</w:t>
      </w:r>
    </w:p>
    <w:p>
      <w:pPr>
        <w:pStyle w:val="Compact"/>
        <w:numPr>
          <w:ilvl w:val="0"/>
          <w:numId w:val="1006"/>
        </w:numPr>
      </w:pPr>
      <w:r>
        <w:t xml:space="preserve">RID : 2.1</w:t>
      </w:r>
    </w:p>
    <w:p>
      <w:pPr>
        <w:pStyle w:val="Compact"/>
        <w:numPr>
          <w:ilvl w:val="0"/>
          <w:numId w:val="1006"/>
        </w:numPr>
      </w:pPr>
      <w:r>
        <w:t xml:space="preserve">ADN : 2.1</w:t>
      </w:r>
    </w:p>
    <w:p>
      <w:pPr>
        <w:pStyle w:val="Compact"/>
        <w:numPr>
          <w:ilvl w:val="0"/>
          <w:numId w:val="1006"/>
        </w:numPr>
      </w:pPr>
      <w:r>
        <w:t xml:space="preserve">IMDG : 2.1</w:t>
      </w:r>
    </w:p>
    <w:p>
      <w:pPr>
        <w:pStyle w:val="Compact"/>
        <w:numPr>
          <w:ilvl w:val="0"/>
          <w:numId w:val="1006"/>
        </w:numPr>
      </w:pPr>
      <w:r>
        <w:t xml:space="preserve">IATA : 2.1</w:t>
      </w:r>
    </w:p>
    <w:p>
      <w:pPr>
        <w:pStyle w:val="Compact"/>
        <w:numPr>
          <w:ilvl w:val="0"/>
          <w:numId w:val="1006"/>
        </w:numPr>
      </w:pPr>
      <w:r>
        <w:t xml:space="preserve">UN : 1950</w:t>
      </w:r>
    </w:p>
    <w:bookmarkEnd w:id="39"/>
    <w:bookmarkStart w:id="40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• Rincer abondamment la zone touchée avec de l’eau pendant au moins 15 min.</w:t>
      </w:r>
      <w:r>
        <w:t xml:space="preserve"> </w:t>
      </w:r>
      <w:r>
        <w:t xml:space="preserve">• Retirer les vêtements et chaussures contaminés.</w:t>
      </w:r>
      <w:r>
        <w:t xml:space="preserve"> </w:t>
      </w:r>
      <w:r>
        <w:t xml:space="preserve">• Appeler une assistance médicale.</w:t>
      </w:r>
      <w:r>
        <w:t xml:space="preserve"> </w:t>
      </w:r>
      <w:r>
        <w:t xml:space="preserve">• Laver les vêtements avant de les remettre.</w:t>
      </w:r>
      <w:r>
        <w:t xml:space="preserve"> </w:t>
      </w:r>
      <w:r>
        <w:t xml:space="preserve">• Nettoyer soigneusement les chaussures avant de les réutiliser.</w:t>
      </w:r>
    </w:p>
    <w:p>
      <w:pPr>
        <w:pStyle w:val="BodyText"/>
      </w:pPr>
      <w:r>
        <w:t xml:space="preserve">eyes : • Rincer les yeux immédiatement avec de l’eau courante pendant au moins 15 min.</w:t>
      </w:r>
      <w:r>
        <w:t xml:space="preserve"> </w:t>
      </w:r>
      <w:r>
        <w:t xml:space="preserve">• Retirer les lentilles de contact si cela peut être fait facilement.</w:t>
      </w:r>
      <w:r>
        <w:t xml:space="preserve"> </w:t>
      </w:r>
      <w:r>
        <w:t xml:space="preserve">• Appeler immédiatement une assistance médicale.</w:t>
      </w:r>
    </w:p>
    <w:p>
      <w:pPr>
        <w:pStyle w:val="BodyText"/>
      </w:pPr>
      <w:r>
        <w:t xml:space="preserve">ingestion : • NE PAS faire vomir.</w:t>
      </w:r>
      <w:r>
        <w:t xml:space="preserve"> </w:t>
      </w:r>
      <w:r>
        <w:t xml:space="preserve">• Appeler une assistance médicale si des symptômes apparaissent.</w:t>
      </w:r>
      <w:r>
        <w:t xml:space="preserve"> </w:t>
      </w:r>
      <w:r>
        <w:t xml:space="preserve">• Rincer soigneusement la bouche avec de l’eau.</w:t>
      </w:r>
    </w:p>
    <w:p>
      <w:pPr>
        <w:pStyle w:val="BodyText"/>
      </w:pPr>
      <w:r>
        <w:t xml:space="preserve">inhalation : • Déplacer immédiatement la personne vers un air frais.</w:t>
      </w:r>
    </w:p>
    <w:p>
      <w:r>
        <w:br w:type="page"/>
      </w:r>
    </w:p>
    <w:bookmarkEnd w:id="40"/>
    <w:bookmarkStart w:id="89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51" w:name="quartz"/>
    <w:p>
      <w:pPr>
        <w:pStyle w:val="Heading3"/>
      </w:pPr>
      <w:r>
        <w:t xml:space="preserve">Quartz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7"/>
        </w:numPr>
      </w:pPr>
      <w:r>
        <w:t xml:space="preserve">N° CAS : 14808-60-7</w:t>
      </w:r>
    </w:p>
    <w:p>
      <w:pPr>
        <w:pStyle w:val="Compact"/>
        <w:numPr>
          <w:ilvl w:val="0"/>
          <w:numId w:val="1007"/>
        </w:numPr>
      </w:pPr>
      <w:r>
        <w:t xml:space="preserve">N° EINECS : 238-878-4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10.0 to 20.0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8"/>
        </w:numPr>
      </w:pPr>
      <w:r>
        <w:t xml:space="preserve">H372</w:t>
      </w:r>
      <w:r>
        <w:t xml:space="preserve"> </w:t>
      </w:r>
      <w:r>
        <w:t xml:space="preserve">Risque avéré d’effets graves pour les organes à la suite d’expositions répétées ou d’une exposition prolongée.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(mg/m³) : 0.1</w:t>
            </w:r>
          </w:p>
        </w:tc>
      </w:tr>
    </w:tbl>
    <w:bookmarkStart w:id="50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1">
        <w:r>
          <w:rPr>
            <w:rStyle w:val="Hyperlink"/>
            <w:color w:val="0856A0"/>
            <w:u w:val="single"/>
          </w:rPr>
          <w:t xml:space="preserve">Fiche n°232 - Silice cristalline</w:t>
        </w:r>
      </w:hyperlink>
    </w:p>
    <w:p>
      <w:pPr>
        <w:numPr>
          <w:ilvl w:val="0"/>
          <w:numId w:val="1009"/>
        </w:numPr>
      </w:pPr>
      <w:hyperlink r:id="rId42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9"/>
        </w:numPr>
      </w:pPr>
      <w:hyperlink r:id="rId43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9"/>
        </w:numPr>
      </w:pPr>
      <w:hyperlink r:id="rId44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9"/>
        </w:numPr>
      </w:pPr>
      <w:hyperlink r:id="rId45">
        <w:r>
          <w:rPr>
            <w:rStyle w:val="Hyperlink"/>
            <w:color w:val="0856A0"/>
            <w:u w:val="single"/>
          </w:rPr>
          <w:t xml:space="preserve">Incendie - Explosion</w:t>
        </w:r>
      </w:hyperlink>
    </w:p>
    <w:p>
      <w:pPr>
        <w:numPr>
          <w:ilvl w:val="0"/>
          <w:numId w:val="1009"/>
        </w:numPr>
      </w:pPr>
      <w:hyperlink r:id="rId46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9"/>
        </w:numPr>
      </w:pPr>
      <w:hyperlink r:id="rId47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9"/>
        </w:numPr>
      </w:pPr>
      <w:hyperlink r:id="rId48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9"/>
        </w:numPr>
      </w:pPr>
      <w:hyperlink r:id="rId49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0"/>
    <w:bookmarkEnd w:id="51"/>
    <w:bookmarkStart w:id="62" w:name="ammoniac"/>
    <w:p>
      <w:pPr>
        <w:pStyle w:val="Heading3"/>
      </w:pPr>
      <w:r>
        <w:t xml:space="preserve">Ammoniac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0"/>
        </w:numPr>
      </w:pPr>
      <w:r>
        <w:t xml:space="preserve">N° CAS : 1336-21-6</w:t>
      </w:r>
    </w:p>
    <w:p>
      <w:pPr>
        <w:pStyle w:val="Compact"/>
        <w:numPr>
          <w:ilvl w:val="0"/>
          <w:numId w:val="1010"/>
        </w:numPr>
      </w:pPr>
      <w:r>
        <w:t xml:space="preserve">N° EINECS : 215-647-6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20.0 to 20.0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1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11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11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61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hyperlink r:id="rId52">
        <w:r>
          <w:rPr>
            <w:rStyle w:val="Hyperlink"/>
            <w:color w:val="0856A0"/>
            <w:u w:val="single"/>
          </w:rPr>
          <w:t xml:space="preserve">Fiche n°16 - Ammoniac et solutions aqueuses</w:t>
        </w:r>
      </w:hyperlink>
    </w:p>
    <w:p>
      <w:pPr>
        <w:numPr>
          <w:ilvl w:val="0"/>
          <w:numId w:val="1012"/>
        </w:numPr>
      </w:pPr>
      <w:hyperlink r:id="rId53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2"/>
        </w:numPr>
      </w:pPr>
      <w:hyperlink r:id="rId54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2"/>
        </w:numPr>
      </w:pPr>
      <w:hyperlink r:id="rId55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2"/>
        </w:numPr>
      </w:pPr>
      <w:hyperlink r:id="rId56">
        <w:r>
          <w:rPr>
            <w:rStyle w:val="Hyperlink"/>
            <w:color w:val="0856A0"/>
            <w:u w:val="single"/>
          </w:rPr>
          <w:t xml:space="preserve">Incendie - Explosion[12]</w:t>
        </w:r>
      </w:hyperlink>
    </w:p>
    <w:p>
      <w:pPr>
        <w:numPr>
          <w:ilvl w:val="0"/>
          <w:numId w:val="1012"/>
        </w:numPr>
      </w:pPr>
      <w:hyperlink r:id="rId57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2"/>
        </w:numPr>
      </w:pPr>
      <w:hyperlink r:id="rId58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2"/>
        </w:numPr>
      </w:pPr>
      <w:hyperlink r:id="rId59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2"/>
        </w:numPr>
      </w:pPr>
      <w:hyperlink r:id="rId60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61"/>
    <w:bookmarkEnd w:id="62"/>
    <w:bookmarkStart w:id="73" w:name="sodium-nitrite"/>
    <w:p>
      <w:pPr>
        <w:pStyle w:val="Heading3"/>
      </w:pPr>
      <w:r>
        <w:t xml:space="preserve">Sodium nitrite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3"/>
        </w:numPr>
      </w:pPr>
      <w:r>
        <w:t xml:space="preserve">N° CAS : 7632-00-0</w:t>
      </w:r>
    </w:p>
    <w:p>
      <w:pPr>
        <w:pStyle w:val="Compact"/>
        <w:numPr>
          <w:ilvl w:val="0"/>
          <w:numId w:val="1013"/>
        </w:numPr>
      </w:pPr>
      <w:r>
        <w:t xml:space="preserve">N° EINECS : 231-555-9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0.25 to 1.0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4"/>
        </w:numPr>
      </w:pPr>
      <w:r>
        <w:t xml:space="preserve">H272</w:t>
      </w:r>
      <w:r>
        <w:t xml:space="preserve"> </w:t>
      </w:r>
      <w:r>
        <w:t xml:space="preserve">Peut aggraver un incendie; comburant.</w:t>
      </w:r>
    </w:p>
    <w:p>
      <w:pPr>
        <w:numPr>
          <w:ilvl w:val="0"/>
          <w:numId w:val="1014"/>
        </w:numPr>
      </w:pPr>
      <w:r>
        <w:t xml:space="preserve">H301</w:t>
      </w:r>
      <w:r>
        <w:t xml:space="preserve"> </w:t>
      </w:r>
      <w:r>
        <w:t xml:space="preserve">Toxique en cas d’ingestion.</w:t>
      </w:r>
    </w:p>
    <w:p>
      <w:pPr>
        <w:numPr>
          <w:ilvl w:val="0"/>
          <w:numId w:val="1014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14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72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hyperlink r:id="rId63">
        <w:r>
          <w:rPr>
            <w:rStyle w:val="Hyperlink"/>
            <w:color w:val="0856A0"/>
            <w:u w:val="single"/>
          </w:rPr>
          <w:t xml:space="preserve">Fiche n°169 - Nitrite de sodium</w:t>
        </w:r>
      </w:hyperlink>
    </w:p>
    <w:p>
      <w:pPr>
        <w:numPr>
          <w:ilvl w:val="0"/>
          <w:numId w:val="1015"/>
        </w:numPr>
      </w:pPr>
      <w:hyperlink r:id="rId64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5"/>
        </w:numPr>
      </w:pPr>
      <w:hyperlink r:id="rId65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5"/>
        </w:numPr>
      </w:pPr>
      <w:hyperlink r:id="rId66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5"/>
        </w:numPr>
      </w:pPr>
      <w:hyperlink r:id="rId67">
        <w:r>
          <w:rPr>
            <w:rStyle w:val="Hyperlink"/>
            <w:color w:val="0856A0"/>
            <w:u w:val="single"/>
          </w:rPr>
          <w:t xml:space="preserve">Incendie - Explosion[3-6]</w:t>
        </w:r>
      </w:hyperlink>
    </w:p>
    <w:p>
      <w:pPr>
        <w:numPr>
          <w:ilvl w:val="0"/>
          <w:numId w:val="1015"/>
        </w:numPr>
      </w:pPr>
      <w:hyperlink r:id="rId68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5"/>
        </w:numPr>
      </w:pPr>
      <w:hyperlink r:id="rId69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5"/>
        </w:numPr>
      </w:pPr>
      <w:hyperlink r:id="rId70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5"/>
        </w:numPr>
      </w:pPr>
      <w:hyperlink r:id="rId71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72"/>
    <w:bookmarkEnd w:id="73"/>
    <w:bookmarkStart w:id="75" w:name="benzotriazole"/>
    <w:p>
      <w:pPr>
        <w:pStyle w:val="Heading3"/>
      </w:pPr>
      <w:r>
        <w:t xml:space="preserve">Benzotriazole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6"/>
        </w:numPr>
      </w:pPr>
      <w:r>
        <w:t xml:space="preserve">N° CAS : 95-14-7</w:t>
      </w:r>
    </w:p>
    <w:p>
      <w:pPr>
        <w:pStyle w:val="Compact"/>
        <w:numPr>
          <w:ilvl w:val="0"/>
          <w:numId w:val="1016"/>
        </w:numPr>
      </w:pPr>
      <w:r>
        <w:t xml:space="preserve">N° EINECS : 202-394-1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0.25 to 1.0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7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17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17"/>
        </w:numPr>
      </w:pPr>
      <w:r>
        <w:t xml:space="preserve">H411</w:t>
      </w:r>
      <w:r>
        <w:t xml:space="preserve"> </w:t>
      </w:r>
      <w:r>
        <w:t xml:space="preserve">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74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74"/>
    <w:bookmarkEnd w:id="75"/>
    <w:bookmarkStart w:id="86" w:name="méthoxyméthylethoxypropanol"/>
    <w:p>
      <w:pPr>
        <w:pStyle w:val="Heading3"/>
      </w:pPr>
      <w:r>
        <w:t xml:space="preserve">(2-Méthoxyméthylethoxy)propanol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8"/>
        </w:numPr>
      </w:pPr>
      <w:r>
        <w:t xml:space="preserve">N° CAS : 34590-94-8</w:t>
      </w:r>
    </w:p>
    <w:p>
      <w:pPr>
        <w:pStyle w:val="Compact"/>
        <w:numPr>
          <w:ilvl w:val="0"/>
          <w:numId w:val="1018"/>
        </w:numPr>
      </w:pPr>
      <w:r>
        <w:t xml:space="preserve">N° EINECS : 252-104-2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 to 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50.0 - VLE-8h (mg/m³) : None</w:t>
            </w:r>
          </w:p>
        </w:tc>
      </w:tr>
    </w:tbl>
    <w:bookmarkStart w:id="85" w:name="propriétés-4"/>
    <w:p>
      <w:pPr>
        <w:pStyle w:val="Heading4"/>
      </w:pPr>
      <w:r>
        <w:t xml:space="preserve">Propriétés</w:t>
      </w:r>
    </w:p>
    <w:p>
      <w:pPr>
        <w:pStyle w:val="FirstParagraph"/>
      </w:pPr>
      <w:hyperlink r:id="rId76">
        <w:r>
          <w:rPr>
            <w:rStyle w:val="Hyperlink"/>
            <w:color w:val="0856A0"/>
            <w:u w:val="single"/>
          </w:rPr>
          <w:t xml:space="preserve">Fiche n°330 - (2-Méthoxyméthyléthoxy)propanol</w:t>
        </w:r>
      </w:hyperlink>
    </w:p>
    <w:p>
      <w:pPr>
        <w:numPr>
          <w:ilvl w:val="0"/>
          <w:numId w:val="1019"/>
        </w:numPr>
      </w:pPr>
      <w:hyperlink r:id="rId77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9"/>
        </w:numPr>
      </w:pPr>
      <w:hyperlink r:id="rId78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9"/>
        </w:numPr>
      </w:pPr>
      <w:hyperlink r:id="rId79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9"/>
        </w:numPr>
      </w:pPr>
      <w:hyperlink r:id="rId80">
        <w:r>
          <w:rPr>
            <w:rStyle w:val="Hyperlink"/>
            <w:color w:val="0856A0"/>
            <w:u w:val="single"/>
          </w:rPr>
          <w:t xml:space="preserve">Incendie - Explosion[3, 10-12]</w:t>
        </w:r>
      </w:hyperlink>
    </w:p>
    <w:p>
      <w:pPr>
        <w:numPr>
          <w:ilvl w:val="0"/>
          <w:numId w:val="1019"/>
        </w:numPr>
      </w:pPr>
      <w:hyperlink r:id="rId81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9"/>
        </w:numPr>
      </w:pPr>
      <w:hyperlink r:id="rId82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9"/>
        </w:numPr>
      </w:pPr>
      <w:hyperlink r:id="rId83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9"/>
        </w:numPr>
      </w:pPr>
      <w:hyperlink r:id="rId84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85"/>
    <w:bookmarkEnd w:id="86"/>
    <w:bookmarkStart w:id="88" w:name="butane"/>
    <w:p>
      <w:pPr>
        <w:pStyle w:val="Heading3"/>
      </w:pPr>
      <w:r>
        <w:t xml:space="preserve">Butane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20"/>
        </w:numPr>
      </w:pPr>
      <w:r>
        <w:t xml:space="preserve">N° CAS : 106-97-8</w:t>
      </w:r>
    </w:p>
    <w:p>
      <w:pPr>
        <w:pStyle w:val="Compact"/>
        <w:numPr>
          <w:ilvl w:val="0"/>
          <w:numId w:val="1020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 to 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21"/>
        </w:numPr>
      </w:pPr>
      <w:r>
        <w:t xml:space="preserve">H220</w:t>
      </w:r>
      <w:r>
        <w:t xml:space="preserve"> </w:t>
      </w:r>
      <w:r>
        <w:t xml:space="preserve">Gaz extrêmement inflammable.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VLE-15min (ppm) : 980.0 - VLE-15min (mg/m³) : 2370.0</w:t>
            </w:r>
          </w:p>
        </w:tc>
      </w:tr>
    </w:tbl>
    <w:bookmarkStart w:id="87" w:name="propriétés-5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87"/>
    <w:bookmarkEnd w:id="88"/>
    <w:bookmarkEnd w:id="89"/>
    <w:bookmarkStart w:id="90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de protection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 respiratoire / filtre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</w:t>
            </w:r>
          </w:p>
        </w:tc>
      </w:tr>
    </w:tbl>
    <w:bookmarkEnd w:id="90"/>
    <w:bookmarkStart w:id="91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Mesures d’ordre technique : Voir les mesures techniques à la rubrique CONTRÔLES DE L’EXPOSITION/PROTECTION INDIVIDUELLE. - Ventilation locale/totale : N’utiliser qu’avec une ventilation adéquate. - Si conseillé par l’évaluation du potentiel d’exposition local, utiliser uniquement dans un endroit équipé d’une ventilation par aspiration antidéflagrante. - Éviter le contact avec la peau et les vêtements. - Éviter de respirer les vapeurs ou le brouillard. - Ne pas avaler. - Éviter tout contact avec les yeux. - Se laver la peau soigneusement après manipulation. - Manipuler conformément aux normes d’hygiène industrielle et aux consignes de sécurité, sur la base des résultats de l’évaluation de l’exposition du lieu de travail. - Maintenir le récipient fermé de manière étanche. - Tenir à l’écart de la chaleur, des surfaces chaudes, des étincelles, des flammes nues et de toute autre source d’inflammation. Ne pas fumer. - Éviter l’accumulation de charges électrostatiques. - Prendre soin de prévenir les déversements, les déchets et de minimiser les rejets dans l’environnement. - Ne pas vaporiser sur une flamme nue ou sur toute autre source d’ignition.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Conserver hermétiquement fermé. - Conserver dans un endroit frais, bien ventilé et à l’abri du rayonnement solaire. - Ne pas percer ou brûler même après usage. - Tenir à une température de stockage &lt; 40 °C (recommandée). Incompatibilités à éviter : - Ne pas stocker avec des substances et mélanges autoréactifs. - Ne pas stocker avec des peroxydes organiques. - Ne pas stocker avec des oxydants. - Ne pas stocker avec des matières solides inflammables. - Ne pas stocker avec des liquides pyrophoriques. - Ne pas stocker avec des matières solides pyrophoriques. - Ne pas stocker avec des substances et mélanges auto-échauffants. - Ne pas stocker avec des substances et mélanges qui, au contact de l’eau, dégagent des gaz inflammables. - Ne pas stocker avec des explosifs. - Ne pas stocker avec des gaz.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de nettoyage, détergent</w:t>
            </w:r>
          </w:p>
        </w:tc>
      </w:tr>
    </w:tbl>
    <w:bookmarkEnd w:id="91"/>
    <w:bookmarkEnd w:id="92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36" Type="http://schemas.openxmlformats.org/officeDocument/2006/relationships/image" Target="media/rId36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52" Type="http://schemas.openxmlformats.org/officeDocument/2006/relationships/hyperlink" Target="https://www.inrs.fr/publications/bdd/fichetox/fiche.html?refINRS=FICHETOX_16" TargetMode="External"/><Relationship Id="rId55" Type="http://schemas.openxmlformats.org/officeDocument/2006/relationships/hyperlink" Target="https://www.inrs.fr/publications/bdd/fichetox/fiche.html?refINRS=FICHETOX_16&amp;section=VLEPMesurage" TargetMode="External"/><Relationship Id="rId60" Type="http://schemas.openxmlformats.org/officeDocument/2006/relationships/hyperlink" Target="https://www.inrs.fr/publications/bdd/fichetox/fiche.html?refINRS=FICHETOX_16&amp;section=bibliographieAuteurs" TargetMode="External"/><Relationship Id="rId54" Type="http://schemas.openxmlformats.org/officeDocument/2006/relationships/hyperlink" Target="https://www.inrs.fr/publications/bdd/fichetox/fiche.html?refINRS=FICHETOX_16&amp;section=caracteristiques" TargetMode="External"/><Relationship Id="rId53" Type="http://schemas.openxmlformats.org/officeDocument/2006/relationships/hyperlink" Target="https://www.inrs.fr/publications/bdd/fichetox/fiche.html?refINRS=FICHETOX_16&amp;section=generalites" TargetMode="External"/><Relationship Id="rId56" Type="http://schemas.openxmlformats.org/officeDocument/2006/relationships/hyperlink" Target="https://www.inrs.fr/publications/bdd/fichetox/fiche.html?refINRS=FICHETOX_16&amp;section=incendieExplosion" TargetMode="External"/><Relationship Id="rId57" Type="http://schemas.openxmlformats.org/officeDocument/2006/relationships/hyperlink" Target="https://www.inrs.fr/publications/bdd/fichetox/fiche.html?refINRS=FICHETOX_16&amp;section=pathologieToxicologie" TargetMode="External"/><Relationship Id="rId59" Type="http://schemas.openxmlformats.org/officeDocument/2006/relationships/hyperlink" Target="https://www.inrs.fr/publications/bdd/fichetox/fiche.html?refINRS=FICHETOX_16&amp;section=recommandations" TargetMode="External"/><Relationship Id="rId58" Type="http://schemas.openxmlformats.org/officeDocument/2006/relationships/hyperlink" Target="https://www.inrs.fr/publications/bdd/fichetox/fiche.html?refINRS=FICHETOX_16&amp;section=reglementation" TargetMode="External"/><Relationship Id="rId63" Type="http://schemas.openxmlformats.org/officeDocument/2006/relationships/hyperlink" Target="https://www.inrs.fr/publications/bdd/fichetox/fiche.html?refINRS=FICHETOX_169" TargetMode="External"/><Relationship Id="rId66" Type="http://schemas.openxmlformats.org/officeDocument/2006/relationships/hyperlink" Target="https://www.inrs.fr/publications/bdd/fichetox/fiche.html?refINRS=FICHETOX_169&amp;section=VLEPMesurage" TargetMode="External"/><Relationship Id="rId71" Type="http://schemas.openxmlformats.org/officeDocument/2006/relationships/hyperlink" Target="https://www.inrs.fr/publications/bdd/fichetox/fiche.html?refINRS=FICHETOX_169&amp;section=bibliographieAuteurs" TargetMode="External"/><Relationship Id="rId65" Type="http://schemas.openxmlformats.org/officeDocument/2006/relationships/hyperlink" Target="https://www.inrs.fr/publications/bdd/fichetox/fiche.html?refINRS=FICHETOX_169&amp;section=caracteristiques" TargetMode="External"/><Relationship Id="rId64" Type="http://schemas.openxmlformats.org/officeDocument/2006/relationships/hyperlink" Target="https://www.inrs.fr/publications/bdd/fichetox/fiche.html?refINRS=FICHETOX_169&amp;section=generalites" TargetMode="External"/><Relationship Id="rId67" Type="http://schemas.openxmlformats.org/officeDocument/2006/relationships/hyperlink" Target="https://www.inrs.fr/publications/bdd/fichetox/fiche.html?refINRS=FICHETOX_169&amp;section=incendieExplosion" TargetMode="External"/><Relationship Id="rId68" Type="http://schemas.openxmlformats.org/officeDocument/2006/relationships/hyperlink" Target="https://www.inrs.fr/publications/bdd/fichetox/fiche.html?refINRS=FICHETOX_169&amp;section=pathologieToxicologie" TargetMode="External"/><Relationship Id="rId70" Type="http://schemas.openxmlformats.org/officeDocument/2006/relationships/hyperlink" Target="https://www.inrs.fr/publications/bdd/fichetox/fiche.html?refINRS=FICHETOX_169&amp;section=recommandations" TargetMode="External"/><Relationship Id="rId69" Type="http://schemas.openxmlformats.org/officeDocument/2006/relationships/hyperlink" Target="https://www.inrs.fr/publications/bdd/fichetox/fiche.html?refINRS=FICHETOX_169&amp;section=reglementation" TargetMode="External"/><Relationship Id="rId41" Type="http://schemas.openxmlformats.org/officeDocument/2006/relationships/hyperlink" Target="https://www.inrs.fr/publications/bdd/fichetox/fiche.html?refINRS=FICHETOX_232" TargetMode="External"/><Relationship Id="rId44" Type="http://schemas.openxmlformats.org/officeDocument/2006/relationships/hyperlink" Target="https://www.inrs.fr/publications/bdd/fichetox/fiche.html?refINRS=FICHETOX_232&amp;section=VLEPMesurage" TargetMode="External"/><Relationship Id="rId49" Type="http://schemas.openxmlformats.org/officeDocument/2006/relationships/hyperlink" Target="https://www.inrs.fr/publications/bdd/fichetox/fiche.html?refINRS=FICHETOX_232&amp;section=bibliographieAuteurs" TargetMode="External"/><Relationship Id="rId43" Type="http://schemas.openxmlformats.org/officeDocument/2006/relationships/hyperlink" Target="https://www.inrs.fr/publications/bdd/fichetox/fiche.html?refINRS=FICHETOX_232&amp;section=caracteristiques" TargetMode="External"/><Relationship Id="rId42" Type="http://schemas.openxmlformats.org/officeDocument/2006/relationships/hyperlink" Target="https://www.inrs.fr/publications/bdd/fichetox/fiche.html?refINRS=FICHETOX_232&amp;section=generalites" TargetMode="External"/><Relationship Id="rId45" Type="http://schemas.openxmlformats.org/officeDocument/2006/relationships/hyperlink" Target="https://www.inrs.fr/publications/bdd/fichetox/fiche.html?refINRS=FICHETOX_232&amp;section=incendieExplosion" TargetMode="External"/><Relationship Id="rId46" Type="http://schemas.openxmlformats.org/officeDocument/2006/relationships/hyperlink" Target="https://www.inrs.fr/publications/bdd/fichetox/fiche.html?refINRS=FICHETOX_232&amp;section=pathologieToxicologie" TargetMode="External"/><Relationship Id="rId48" Type="http://schemas.openxmlformats.org/officeDocument/2006/relationships/hyperlink" Target="https://www.inrs.fr/publications/bdd/fichetox/fiche.html?refINRS=FICHETOX_232&amp;section=recommandations" TargetMode="External"/><Relationship Id="rId47" Type="http://schemas.openxmlformats.org/officeDocument/2006/relationships/hyperlink" Target="https://www.inrs.fr/publications/bdd/fichetox/fiche.html?refINRS=FICHETOX_232&amp;section=reglementation" TargetMode="External"/><Relationship Id="rId76" Type="http://schemas.openxmlformats.org/officeDocument/2006/relationships/hyperlink" Target="https://www.inrs.fr/publications/bdd/fichetox/fiche.html?refINRS=FICHETOX_330" TargetMode="External"/><Relationship Id="rId79" Type="http://schemas.openxmlformats.org/officeDocument/2006/relationships/hyperlink" Target="https://www.inrs.fr/publications/bdd/fichetox/fiche.html?refINRS=FICHETOX_330&amp;section=VLEPMesurage" TargetMode="External"/><Relationship Id="rId84" Type="http://schemas.openxmlformats.org/officeDocument/2006/relationships/hyperlink" Target="https://www.inrs.fr/publications/bdd/fichetox/fiche.html?refINRS=FICHETOX_330&amp;section=bibliographieAuteurs" TargetMode="External"/><Relationship Id="rId78" Type="http://schemas.openxmlformats.org/officeDocument/2006/relationships/hyperlink" Target="https://www.inrs.fr/publications/bdd/fichetox/fiche.html?refINRS=FICHETOX_330&amp;section=caracteristiques" TargetMode="External"/><Relationship Id="rId77" Type="http://schemas.openxmlformats.org/officeDocument/2006/relationships/hyperlink" Target="https://www.inrs.fr/publications/bdd/fichetox/fiche.html?refINRS=FICHETOX_330&amp;section=generalites" TargetMode="External"/><Relationship Id="rId80" Type="http://schemas.openxmlformats.org/officeDocument/2006/relationships/hyperlink" Target="https://www.inrs.fr/publications/bdd/fichetox/fiche.html?refINRS=FICHETOX_330&amp;section=incendieExplosion" TargetMode="External"/><Relationship Id="rId81" Type="http://schemas.openxmlformats.org/officeDocument/2006/relationships/hyperlink" Target="https://www.inrs.fr/publications/bdd/fichetox/fiche.html?refINRS=FICHETOX_330&amp;section=pathologieToxicologie" TargetMode="External"/><Relationship Id="rId83" Type="http://schemas.openxmlformats.org/officeDocument/2006/relationships/hyperlink" Target="https://www.inrs.fr/publications/bdd/fichetox/fiche.html?refINRS=FICHETOX_330&amp;section=recommandations" TargetMode="External"/><Relationship Id="rId82" Type="http://schemas.openxmlformats.org/officeDocument/2006/relationships/hyperlink" Target="https://www.inrs.fr/publications/bdd/fichetox/fiche.html?refINRS=FICHETOX_330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52" Type="http://schemas.openxmlformats.org/officeDocument/2006/relationships/hyperlink" Target="https://www.inrs.fr/publications/bdd/fichetox/fiche.html?refINRS=FICHETOX_16" TargetMode="External"/><Relationship Id="rId55" Type="http://schemas.openxmlformats.org/officeDocument/2006/relationships/hyperlink" Target="https://www.inrs.fr/publications/bdd/fichetox/fiche.html?refINRS=FICHETOX_16&amp;section=VLEPMesurage" TargetMode="External"/><Relationship Id="rId60" Type="http://schemas.openxmlformats.org/officeDocument/2006/relationships/hyperlink" Target="https://www.inrs.fr/publications/bdd/fichetox/fiche.html?refINRS=FICHETOX_16&amp;section=bibliographieAuteurs" TargetMode="External"/><Relationship Id="rId54" Type="http://schemas.openxmlformats.org/officeDocument/2006/relationships/hyperlink" Target="https://www.inrs.fr/publications/bdd/fichetox/fiche.html?refINRS=FICHETOX_16&amp;section=caracteristiques" TargetMode="External"/><Relationship Id="rId53" Type="http://schemas.openxmlformats.org/officeDocument/2006/relationships/hyperlink" Target="https://www.inrs.fr/publications/bdd/fichetox/fiche.html?refINRS=FICHETOX_16&amp;section=generalites" TargetMode="External"/><Relationship Id="rId56" Type="http://schemas.openxmlformats.org/officeDocument/2006/relationships/hyperlink" Target="https://www.inrs.fr/publications/bdd/fichetox/fiche.html?refINRS=FICHETOX_16&amp;section=incendieExplosion" TargetMode="External"/><Relationship Id="rId57" Type="http://schemas.openxmlformats.org/officeDocument/2006/relationships/hyperlink" Target="https://www.inrs.fr/publications/bdd/fichetox/fiche.html?refINRS=FICHETOX_16&amp;section=pathologieToxicologie" TargetMode="External"/><Relationship Id="rId59" Type="http://schemas.openxmlformats.org/officeDocument/2006/relationships/hyperlink" Target="https://www.inrs.fr/publications/bdd/fichetox/fiche.html?refINRS=FICHETOX_16&amp;section=recommandations" TargetMode="External"/><Relationship Id="rId58" Type="http://schemas.openxmlformats.org/officeDocument/2006/relationships/hyperlink" Target="https://www.inrs.fr/publications/bdd/fichetox/fiche.html?refINRS=FICHETOX_16&amp;section=reglementation" TargetMode="External"/><Relationship Id="rId63" Type="http://schemas.openxmlformats.org/officeDocument/2006/relationships/hyperlink" Target="https://www.inrs.fr/publications/bdd/fichetox/fiche.html?refINRS=FICHETOX_169" TargetMode="External"/><Relationship Id="rId66" Type="http://schemas.openxmlformats.org/officeDocument/2006/relationships/hyperlink" Target="https://www.inrs.fr/publications/bdd/fichetox/fiche.html?refINRS=FICHETOX_169&amp;section=VLEPMesurage" TargetMode="External"/><Relationship Id="rId71" Type="http://schemas.openxmlformats.org/officeDocument/2006/relationships/hyperlink" Target="https://www.inrs.fr/publications/bdd/fichetox/fiche.html?refINRS=FICHETOX_169&amp;section=bibliographieAuteurs" TargetMode="External"/><Relationship Id="rId65" Type="http://schemas.openxmlformats.org/officeDocument/2006/relationships/hyperlink" Target="https://www.inrs.fr/publications/bdd/fichetox/fiche.html?refINRS=FICHETOX_169&amp;section=caracteristiques" TargetMode="External"/><Relationship Id="rId64" Type="http://schemas.openxmlformats.org/officeDocument/2006/relationships/hyperlink" Target="https://www.inrs.fr/publications/bdd/fichetox/fiche.html?refINRS=FICHETOX_169&amp;section=generalites" TargetMode="External"/><Relationship Id="rId67" Type="http://schemas.openxmlformats.org/officeDocument/2006/relationships/hyperlink" Target="https://www.inrs.fr/publications/bdd/fichetox/fiche.html?refINRS=FICHETOX_169&amp;section=incendieExplosion" TargetMode="External"/><Relationship Id="rId68" Type="http://schemas.openxmlformats.org/officeDocument/2006/relationships/hyperlink" Target="https://www.inrs.fr/publications/bdd/fichetox/fiche.html?refINRS=FICHETOX_169&amp;section=pathologieToxicologie" TargetMode="External"/><Relationship Id="rId70" Type="http://schemas.openxmlformats.org/officeDocument/2006/relationships/hyperlink" Target="https://www.inrs.fr/publications/bdd/fichetox/fiche.html?refINRS=FICHETOX_169&amp;section=recommandations" TargetMode="External"/><Relationship Id="rId69" Type="http://schemas.openxmlformats.org/officeDocument/2006/relationships/hyperlink" Target="https://www.inrs.fr/publications/bdd/fichetox/fiche.html?refINRS=FICHETOX_169&amp;section=reglementation" TargetMode="External"/><Relationship Id="rId41" Type="http://schemas.openxmlformats.org/officeDocument/2006/relationships/hyperlink" Target="https://www.inrs.fr/publications/bdd/fichetox/fiche.html?refINRS=FICHETOX_232" TargetMode="External"/><Relationship Id="rId44" Type="http://schemas.openxmlformats.org/officeDocument/2006/relationships/hyperlink" Target="https://www.inrs.fr/publications/bdd/fichetox/fiche.html?refINRS=FICHETOX_232&amp;section=VLEPMesurage" TargetMode="External"/><Relationship Id="rId49" Type="http://schemas.openxmlformats.org/officeDocument/2006/relationships/hyperlink" Target="https://www.inrs.fr/publications/bdd/fichetox/fiche.html?refINRS=FICHETOX_232&amp;section=bibliographieAuteurs" TargetMode="External"/><Relationship Id="rId43" Type="http://schemas.openxmlformats.org/officeDocument/2006/relationships/hyperlink" Target="https://www.inrs.fr/publications/bdd/fichetox/fiche.html?refINRS=FICHETOX_232&amp;section=caracteristiques" TargetMode="External"/><Relationship Id="rId42" Type="http://schemas.openxmlformats.org/officeDocument/2006/relationships/hyperlink" Target="https://www.inrs.fr/publications/bdd/fichetox/fiche.html?refINRS=FICHETOX_232&amp;section=generalites" TargetMode="External"/><Relationship Id="rId45" Type="http://schemas.openxmlformats.org/officeDocument/2006/relationships/hyperlink" Target="https://www.inrs.fr/publications/bdd/fichetox/fiche.html?refINRS=FICHETOX_232&amp;section=incendieExplosion" TargetMode="External"/><Relationship Id="rId46" Type="http://schemas.openxmlformats.org/officeDocument/2006/relationships/hyperlink" Target="https://www.inrs.fr/publications/bdd/fichetox/fiche.html?refINRS=FICHETOX_232&amp;section=pathologieToxicologie" TargetMode="External"/><Relationship Id="rId48" Type="http://schemas.openxmlformats.org/officeDocument/2006/relationships/hyperlink" Target="https://www.inrs.fr/publications/bdd/fichetox/fiche.html?refINRS=FICHETOX_232&amp;section=recommandations" TargetMode="External"/><Relationship Id="rId47" Type="http://schemas.openxmlformats.org/officeDocument/2006/relationships/hyperlink" Target="https://www.inrs.fr/publications/bdd/fichetox/fiche.html?refINRS=FICHETOX_232&amp;section=reglementation" TargetMode="External"/><Relationship Id="rId76" Type="http://schemas.openxmlformats.org/officeDocument/2006/relationships/hyperlink" Target="https://www.inrs.fr/publications/bdd/fichetox/fiche.html?refINRS=FICHETOX_330" TargetMode="External"/><Relationship Id="rId79" Type="http://schemas.openxmlformats.org/officeDocument/2006/relationships/hyperlink" Target="https://www.inrs.fr/publications/bdd/fichetox/fiche.html?refINRS=FICHETOX_330&amp;section=VLEPMesurage" TargetMode="External"/><Relationship Id="rId84" Type="http://schemas.openxmlformats.org/officeDocument/2006/relationships/hyperlink" Target="https://www.inrs.fr/publications/bdd/fichetox/fiche.html?refINRS=FICHETOX_330&amp;section=bibliographieAuteurs" TargetMode="External"/><Relationship Id="rId78" Type="http://schemas.openxmlformats.org/officeDocument/2006/relationships/hyperlink" Target="https://www.inrs.fr/publications/bdd/fichetox/fiche.html?refINRS=FICHETOX_330&amp;section=caracteristiques" TargetMode="External"/><Relationship Id="rId77" Type="http://schemas.openxmlformats.org/officeDocument/2006/relationships/hyperlink" Target="https://www.inrs.fr/publications/bdd/fichetox/fiche.html?refINRS=FICHETOX_330&amp;section=generalites" TargetMode="External"/><Relationship Id="rId80" Type="http://schemas.openxmlformats.org/officeDocument/2006/relationships/hyperlink" Target="https://www.inrs.fr/publications/bdd/fichetox/fiche.html?refINRS=FICHETOX_330&amp;section=incendieExplosion" TargetMode="External"/><Relationship Id="rId81" Type="http://schemas.openxmlformats.org/officeDocument/2006/relationships/hyperlink" Target="https://www.inrs.fr/publications/bdd/fichetox/fiche.html?refINRS=FICHETOX_330&amp;section=pathologieToxicologie" TargetMode="External"/><Relationship Id="rId83" Type="http://schemas.openxmlformats.org/officeDocument/2006/relationships/hyperlink" Target="https://www.inrs.fr/publications/bdd/fichetox/fiche.html?refINRS=FICHETOX_330&amp;section=recommandations" TargetMode="External"/><Relationship Id="rId82" Type="http://schemas.openxmlformats.org/officeDocument/2006/relationships/hyperlink" Target="https://www.inrs.fr/publications/bdd/fichetox/fiche.html?refINRS=FICHETOX_330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2026-04-14T09:18:30Z</dcterms:created>
  <dcterms:modified xsi:type="dcterms:W3CDTF">2026-04-14T09:18:30Z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