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nn-dimethylformamide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Thermo Fisher Scientific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2026-06-16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0.7.1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nn-dimethylformamide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55" w:name="analyse-des-dangers-nn-dimethylformamide"/>
    <w:p>
      <w:pPr>
        <w:pStyle w:val="Heading1"/>
      </w:pPr>
      <w:r>
        <w:t xml:space="preserve">Analyse des dangers : nn-dimethylformamide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nn-dimethylformamide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Thermo Fisher Scientific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6-8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2023-10-13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2023-10-13. Elle a donc 2 an(s).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a identifié les erreurs de classification potentielles suivantes dans la FDS :</w:t>
      </w:r>
    </w:p>
    <w:p>
      <w:pPr>
        <w:pStyle w:val="Compact"/>
        <w:numPr>
          <w:ilvl w:val="0"/>
          <w:numId w:val="1003"/>
        </w:numPr>
      </w:pPr>
      <w:r>
        <w:t xml:space="preserve">La substance N,N-Dimethylformamide devrait être classée H360D*** selon les dernières classifications harmonisées publiées par l’ECHA.</w:t>
      </w:r>
    </w:p>
    <w:bookmarkEnd w:id="28"/>
    <w:bookmarkEnd w:id="29"/>
    <w:bookmarkStart w:id="39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Attention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Inflammable" title="" id="31" name="Picture"/>
            <a:graphic>
              <a:graphicData uri="http://schemas.openxmlformats.org/drawingml/2006/picture">
                <pic:pic>
                  <pic:nvPicPr>
                    <pic:cNvPr descr="templates/SGH02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Inflammable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4" name="Picture"/>
            <a:graphic>
              <a:graphicData uri="http://schemas.openxmlformats.org/drawingml/2006/picture">
                <pic:pic>
                  <pic:nvPicPr>
                    <pic:cNvPr descr="templates/SGH07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  <w:r>
        <w:t xml:space="preserve"> </w:t>
      </w:r>
      <w:r>
        <w:drawing>
          <wp:inline>
            <wp:extent cx="719999" cy="719999"/>
            <wp:effectExtent b="0" l="0" r="0" t="0"/>
            <wp:docPr descr="Grave pour la santé" title="" id="37" name="Picture"/>
            <a:graphic>
              <a:graphicData uri="http://schemas.openxmlformats.org/drawingml/2006/picture">
                <pic:pic>
                  <pic:nvPicPr>
                    <pic:cNvPr descr="templates/SGH08.png" id="38" name="Picture"/>
                    <pic:cNvPicPr>
                      <a:picLocks noChangeArrowheads="1"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Grave pour la santé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H226</w:t>
      </w:r>
      <w:r>
        <w:t xml:space="preserve"> </w:t>
      </w:r>
      <w:r>
        <w:t xml:space="preserve">Liquide et vapeurs inflammables.</w:t>
      </w:r>
    </w:p>
    <w:p>
      <w:pPr>
        <w:numPr>
          <w:ilvl w:val="0"/>
          <w:numId w:val="1004"/>
        </w:numPr>
      </w:pPr>
      <w:r>
        <w:t xml:space="preserve">H312</w:t>
      </w:r>
      <w:r>
        <w:t xml:space="preserve"> </w:t>
      </w:r>
      <w:r>
        <w:t xml:space="preserve">Nocif par contact cutané.</w:t>
      </w:r>
    </w:p>
    <w:p>
      <w:pPr>
        <w:numPr>
          <w:ilvl w:val="0"/>
          <w:numId w:val="1004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04"/>
        </w:numPr>
      </w:pPr>
      <w:r>
        <w:t xml:space="preserve">H332</w:t>
      </w:r>
      <w:r>
        <w:t xml:space="preserve"> </w:t>
      </w:r>
      <w:r>
        <w:t xml:space="preserve">Nocif par inhalation.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5"/>
        </w:numPr>
      </w:pPr>
      <w:r>
        <w:t xml:space="preserve">P116</w:t>
      </w:r>
      <w:r>
        <w:t xml:space="preserve"> </w:t>
      </w:r>
      <w:r>
        <w:t xml:space="preserve">P116</w:t>
      </w:r>
    </w:p>
    <w:p>
      <w:pPr>
        <w:numPr>
          <w:ilvl w:val="0"/>
          <w:numId w:val="1005"/>
        </w:numPr>
      </w:pPr>
      <w:r>
        <w:t xml:space="preserve">P210</w:t>
      </w:r>
      <w:r>
        <w:t xml:space="preserve"> </w:t>
      </w:r>
      <w:r>
        <w:t xml:space="preserve">P210</w:t>
      </w:r>
    </w:p>
    <w:p>
      <w:pPr>
        <w:numPr>
          <w:ilvl w:val="0"/>
          <w:numId w:val="1005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5"/>
        </w:numPr>
      </w:pPr>
      <w:r>
        <w:t xml:space="preserve">P303+P361+P353</w:t>
      </w:r>
      <w:r>
        <w:t xml:space="preserve"> </w:t>
      </w:r>
      <w:r>
        <w:t xml:space="preserve">EN CAS DE CONTACT AVEC LA PEAU (ou les cheveux):</w:t>
      </w:r>
    </w:p>
    <w:p>
      <w:pPr>
        <w:numPr>
          <w:ilvl w:val="0"/>
          <w:numId w:val="1005"/>
        </w:numPr>
      </w:pPr>
      <w:r>
        <w:t xml:space="preserve">P304+P340</w:t>
      </w:r>
      <w:r>
        <w:t xml:space="preserve"> </w:t>
      </w:r>
      <w:r>
        <w:t xml:space="preserve">EN CAS D’INHALATION:</w:t>
      </w:r>
    </w:p>
    <w:p>
      <w:pPr>
        <w:numPr>
          <w:ilvl w:val="0"/>
          <w:numId w:val="1005"/>
        </w:numPr>
      </w:pPr>
      <w:r>
        <w:t xml:space="preserve">P305+P351+P338</w:t>
      </w:r>
      <w:r>
        <w:t xml:space="preserve"> </w:t>
      </w:r>
      <w:r>
        <w:t xml:space="preserve">EN CAS DE CONTACT AVEC LES YEUX: rincer avec précaution à l’eau pendant plusieurs minutes. Enlever les lentilles de contact si la victime en porte et si elles peuvent être facilement enlevées. Continuer à rincer.</w:t>
      </w:r>
    </w:p>
    <w:p>
      <w:pPr>
        <w:numPr>
          <w:ilvl w:val="0"/>
          <w:numId w:val="1005"/>
        </w:numPr>
      </w:pPr>
      <w:r>
        <w:t xml:space="preserve">P312</w:t>
      </w:r>
      <w:r>
        <w:t xml:space="preserve"> </w:t>
      </w:r>
      <w:r>
        <w:t xml:space="preserve">P312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6"/>
        </w:numPr>
      </w:pPr>
      <w:r>
        <w:t xml:space="preserve">ADR : Classe 3, Groupe d’emballage III</w:t>
      </w:r>
    </w:p>
    <w:p>
      <w:pPr>
        <w:pStyle w:val="Compact"/>
        <w:numPr>
          <w:ilvl w:val="0"/>
          <w:numId w:val="1006"/>
        </w:numPr>
      </w:pPr>
      <w:r>
        <w:t xml:space="preserve">RID : -</w:t>
      </w:r>
    </w:p>
    <w:p>
      <w:pPr>
        <w:pStyle w:val="Compact"/>
        <w:numPr>
          <w:ilvl w:val="0"/>
          <w:numId w:val="1006"/>
        </w:numPr>
      </w:pPr>
      <w:r>
        <w:t xml:space="preserve">ADN : -</w:t>
      </w:r>
    </w:p>
    <w:p>
      <w:pPr>
        <w:pStyle w:val="Compact"/>
        <w:numPr>
          <w:ilvl w:val="0"/>
          <w:numId w:val="1006"/>
        </w:numPr>
      </w:pPr>
      <w:r>
        <w:t xml:space="preserve">IMDG : Classe 3, Groupe d’emballage III</w:t>
      </w:r>
    </w:p>
    <w:p>
      <w:pPr>
        <w:pStyle w:val="Compact"/>
        <w:numPr>
          <w:ilvl w:val="0"/>
          <w:numId w:val="1006"/>
        </w:numPr>
      </w:pPr>
      <w:r>
        <w:t xml:space="preserve">IATA : Classe 3, Groupe d’emballage III</w:t>
      </w:r>
    </w:p>
    <w:p>
      <w:pPr>
        <w:pStyle w:val="Compact"/>
        <w:numPr>
          <w:ilvl w:val="0"/>
          <w:numId w:val="1006"/>
        </w:numPr>
      </w:pPr>
      <w:r>
        <w:t xml:space="preserve">UN : 2265</w:t>
      </w:r>
    </w:p>
    <w:bookmarkEnd w:id="39"/>
    <w:bookmarkStart w:id="40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Rincer immédiatement et abondamment à l’eau pendant au moins 15 minutes.</w:t>
      </w:r>
      <w:r>
        <w:t xml:space="preserve"> </w:t>
      </w:r>
      <w:r>
        <w:t xml:space="preserve">Consulter immédiatement un médecin en cas de symptômes.</w:t>
      </w:r>
    </w:p>
    <w:p>
      <w:pPr>
        <w:pStyle w:val="BodyText"/>
      </w:pPr>
      <w:r>
        <w:t xml:space="preserve">eyes : Rincer immédiatement et abondamment à l’eau, y compris sous les paupières, pendant au moins 15 minutes.</w:t>
      </w:r>
      <w:r>
        <w:t xml:space="preserve"> </w:t>
      </w:r>
      <w:r>
        <w:t xml:space="preserve">Consulter un médecin.</w:t>
      </w:r>
    </w:p>
    <w:p>
      <w:pPr>
        <w:pStyle w:val="BodyText"/>
      </w:pPr>
      <w:r>
        <w:t xml:space="preserve">ingestion : NE PAS faire vomir.</w:t>
      </w:r>
      <w:r>
        <w:t xml:space="preserve"> </w:t>
      </w:r>
      <w:r>
        <w:t xml:space="preserve">Consulter un médecin.</w:t>
      </w:r>
    </w:p>
    <w:p>
      <w:pPr>
        <w:pStyle w:val="BodyText"/>
      </w:pPr>
      <w:r>
        <w:t xml:space="preserve">inhalation : Transporter la victime à l’air frais.</w:t>
      </w:r>
      <w:r>
        <w:t xml:space="preserve"> </w:t>
      </w:r>
      <w:r>
        <w:t xml:space="preserve">En cas de difficultés respiratoires, administrer de l’oxygène.</w:t>
      </w:r>
      <w:r>
        <w:t xml:space="preserve"> </w:t>
      </w:r>
      <w:r>
        <w:t xml:space="preserve">Consulter un médecin.</w:t>
      </w:r>
    </w:p>
    <w:p>
      <w:r>
        <w:br w:type="page"/>
      </w:r>
    </w:p>
    <w:bookmarkEnd w:id="40"/>
    <w:bookmarkStart w:id="52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51" w:name="nn-dimethylformamide"/>
    <w:p>
      <w:pPr>
        <w:pStyle w:val="Heading3"/>
      </w:pPr>
      <w:r>
        <w:t xml:space="preserve">N,N-Dimethylformamide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7"/>
        </w:numPr>
      </w:pPr>
      <w:r>
        <w:t xml:space="preserve">N° CAS : 68-12-2</w:t>
      </w:r>
    </w:p>
    <w:p>
      <w:pPr>
        <w:pStyle w:val="Compact"/>
        <w:numPr>
          <w:ilvl w:val="0"/>
          <w:numId w:val="1007"/>
        </w:numPr>
      </w:pPr>
      <w:r>
        <w:t xml:space="preserve">N° EINECS : 200-679-5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:greater or equal to 95.0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8"/>
        </w:numPr>
      </w:pPr>
      <w:r>
        <w:t xml:space="preserve">H226</w:t>
      </w:r>
      <w:r>
        <w:t xml:space="preserve"> </w:t>
      </w:r>
      <w:r>
        <w:t xml:space="preserve">Liquide et vapeurs inflammables.</w:t>
      </w:r>
    </w:p>
    <w:p>
      <w:pPr>
        <w:numPr>
          <w:ilvl w:val="0"/>
          <w:numId w:val="1008"/>
        </w:numPr>
      </w:pPr>
      <w:r>
        <w:t xml:space="preserve">H312</w:t>
      </w:r>
      <w:r>
        <w:t xml:space="preserve"> </w:t>
      </w:r>
      <w:r>
        <w:t xml:space="preserve">Nocif par contact cutané.</w:t>
      </w:r>
    </w:p>
    <w:p>
      <w:pPr>
        <w:numPr>
          <w:ilvl w:val="0"/>
          <w:numId w:val="1008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08"/>
        </w:numPr>
      </w:pPr>
      <w:r>
        <w:t xml:space="preserve">H332</w:t>
      </w:r>
      <w:r>
        <w:t xml:space="preserve"> </w:t>
      </w:r>
      <w:r>
        <w:t xml:space="preserve">Nocif par inhalation.</w:t>
      </w:r>
    </w:p>
    <w:p>
      <w:pPr>
        <w:numPr>
          <w:ilvl w:val="0"/>
          <w:numId w:val="1008"/>
        </w:numPr>
      </w:pPr>
      <w:r>
        <w:t xml:space="preserve">H360D***</w:t>
      </w:r>
      <w:r>
        <w:t xml:space="preserve"> </w:t>
      </w:r>
      <w:r>
        <w:t xml:space="preserve">Peut nuire à la fertilité ou au fœtus.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5.0 - VLE-8h (mg/m³) : 15.0 - VLE-15min (ppm) : 10.0 - VLE-15min (mg/m³) : 30.0</w:t>
            </w:r>
          </w:p>
        </w:tc>
      </w:tr>
    </w:tbl>
    <w:bookmarkStart w:id="50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hyperlink r:id="rId41">
        <w:r>
          <w:rPr>
            <w:rStyle w:val="Hyperlink"/>
            <w:color w:val="0856A0"/>
            <w:u w:val="single"/>
          </w:rPr>
          <w:t xml:space="preserve">FICHEFévrier 2021Fiche n°69 - N,N-DiméthylformamideFiche présentant l’essentiel des données d’hygiène et de sécurité relatives à« N,N-Diméthylformamide »avec un rappel de la réglementation française et des recommandations techniques et médicales.En savoir plus</w:t>
        </w:r>
      </w:hyperlink>
    </w:p>
    <w:p>
      <w:pPr>
        <w:numPr>
          <w:ilvl w:val="0"/>
          <w:numId w:val="1009"/>
        </w:numPr>
      </w:pPr>
      <w:hyperlink r:id="rId42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09"/>
        </w:numPr>
      </w:pPr>
      <w:hyperlink r:id="rId43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09"/>
        </w:numPr>
      </w:pPr>
      <w:hyperlink r:id="rId44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09"/>
        </w:numPr>
      </w:pPr>
      <w:hyperlink r:id="rId45">
        <w:r>
          <w:rPr>
            <w:rStyle w:val="Hyperlink"/>
            <w:color w:val="0856A0"/>
            <w:u w:val="single"/>
          </w:rPr>
          <w:t xml:space="preserve">Incendie - Explosion[2, 7, 9]</w:t>
        </w:r>
      </w:hyperlink>
    </w:p>
    <w:p>
      <w:pPr>
        <w:numPr>
          <w:ilvl w:val="0"/>
          <w:numId w:val="1009"/>
        </w:numPr>
      </w:pPr>
      <w:hyperlink r:id="rId46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09"/>
        </w:numPr>
      </w:pPr>
      <w:hyperlink r:id="rId47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09"/>
        </w:numPr>
      </w:pPr>
      <w:hyperlink r:id="rId48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09"/>
        </w:numPr>
      </w:pPr>
      <w:hyperlink r:id="rId49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50"/>
    <w:bookmarkEnd w:id="51"/>
    <w:bookmarkEnd w:id="52"/>
    <w:bookmarkStart w:id="53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• Matériau : – Caoutchouc butyle (type EN 374) – Néoprène (type EN 374) • Temps de pénétration : – Caoutchouc butyle : &gt; 480 min – Néoprène : &lt; 100 min • Épaisseur : – Caoutchouc butyle : 0.5 mm – Néoprène : 0.45 mm • Norme : EN 374 (testé sous EN 374‑3)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des yeux • Type : Lunettes de protection • Norme : EN 166 (légende « Protection des yeux » dans la section 8)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• Matériau : – Caoutchouc butyle (type EN 374) – Néoprène (type EN 374) • Temps de pénétration : – Caoutchouc butyle : &gt; 480 min – Néoprène : &lt; 100 min • Épaisseur : – Caoutchouc butyle : 0.5 mm – Néoprène : 0.45 mm • Norme : EN 374 (testé sous EN 374‑3)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respiratoire • Utilisation : En cas de concentrations supérieures aux limites d’exposition • Appareils : – Pour utilisation à grande échelle / urgence : appareil respiratoire homologué NIOSH/MSHA ou norme européenne EN 136 – Pour utilisation en laboratoire : appareil respiratoire homologué NIOSH/MSHA ou norme européenne EN 149:2001 • Filtres recommandés : – Type A (gaz et vapeurs organiques) filtre marron conforme EN 14387 • Demi‑masques : – Valve filtrage EN 405 – Demi‑masque EN 140 + filtre FR 141 • Test d’adéquation : requis lorsqu’un PRE est utilisé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 / combinaisons • Recommandation : Porter des vêtements et des gants de protection appropriés pour éviter toute exposition cutanée • Norme : Non spécifiée directement, mais mention de « Protection de la peau » et de l’obligation de porter des vêtements de protection</w:t>
            </w:r>
          </w:p>
        </w:tc>
      </w:tr>
    </w:tbl>
    <w:bookmarkEnd w:id="53"/>
    <w:bookmarkStart w:id="54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Utiliser seulement sous une hotte contre les vapeurs de produits chimiques. - Porter un équipement de protection individuelle/un équipement de protection du visage. - Éviter tout contact avec les yeux, la peau ou les vêtements. - Ne pas respirer les brouillards/vapeurs/aérosols. - Tenir à l’écart des flammes nues, des surfaces chaudes et des sources d’ignition. - Ne pas utiliser d’outils produisant des étincelles. - Utiliser des outils anti‑étincelles et des équipements antidéflagrants. - Éviter l’accumulation de charges électrostatiques. Mesures d’hygiène:” - Manipuler conformément aux bonnes pratiques industrielles d’hygiène et de sécurité. - Conserver à l’écart des aliments et boissons, y compris ceux pour animaux. - Ne pas manger, boire ou fumer en manipulant ce produit. - Retirer et laver les gants et vêtements contaminés, y compris leur doublure intérieure, avant réutilisation. - Se laver les mains avant les pauses et après le travail.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Conserver les récipients bien fermés, au sec et dans un endroit frais et bien ventilé. Tenir à l’écart de la chaleur, des étincelles et des flammes.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N/A</w:t>
            </w:r>
          </w:p>
        </w:tc>
      </w:tr>
    </w:tbl>
    <w:bookmarkEnd w:id="54"/>
    <w:bookmarkEnd w:id="55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5D4391"/>
    <w:rsid w:val="006148BD"/>
    <w:rsid w:val="00666DED"/>
    <w:rsid w:val="008165A3"/>
    <w:rsid w:val="00860E1D"/>
    <w:rsid w:val="008662B7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Hyperlink" w:type="character">
    <w:name w:val="Hyperlink"/>
    <w:basedOn w:val="DefaultParagraphFont"/>
    <w:uiPriority w:val="99"/>
    <w:unhideWhenUsed/>
    <w:rsid w:val="008662B7"/>
    <w:rPr>
      <w:color w:themeColor="hyperlink" w:val="467886"/>
      <w:u w:val="single"/>
    </w:rPr>
  </w:style>
  <w:style w:styleId="UnresolvedMention" w:type="character">
    <w:name w:val="Unresolved Mention"/>
    <w:basedOn w:val="DefaultParagraphFont"/>
    <w:uiPriority w:val="99"/>
    <w:semiHidden/>
    <w:unhideWhenUsed/>
    <w:rsid w:val="008662B7"/>
    <w:rPr>
      <w:color w:val="605E5C"/>
      <w:shd w:color="auto" w:fill="E1DFDD" w:val="cle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36" Type="http://schemas.openxmlformats.org/officeDocument/2006/relationships/image" Target="media/rId36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41" Type="http://schemas.openxmlformats.org/officeDocument/2006/relationships/hyperlink" Target="https://www.inrs.fr/accueil/publications/bdd/fichetox/fiche.html?refINRS=FICHETOX_69" TargetMode="External"/><Relationship Id="rId44" Type="http://schemas.openxmlformats.org/officeDocument/2006/relationships/hyperlink" Target="https://www.inrs.fr/accueil/publications/bdd/fichetox/fiche.html?refINRS=FICHETOX_69&amp;section=VLEPMesurage" TargetMode="External"/><Relationship Id="rId49" Type="http://schemas.openxmlformats.org/officeDocument/2006/relationships/hyperlink" Target="https://www.inrs.fr/accueil/publications/bdd/fichetox/fiche.html?refINRS=FICHETOX_69&amp;section=bibliographieAuteurs" TargetMode="External"/><Relationship Id="rId43" Type="http://schemas.openxmlformats.org/officeDocument/2006/relationships/hyperlink" Target="https://www.inrs.fr/accueil/publications/bdd/fichetox/fiche.html?refINRS=FICHETOX_69&amp;section=caracteristiques" TargetMode="External"/><Relationship Id="rId42" Type="http://schemas.openxmlformats.org/officeDocument/2006/relationships/hyperlink" Target="https://www.inrs.fr/accueil/publications/bdd/fichetox/fiche.html?refINRS=FICHETOX_69&amp;section=generalites" TargetMode="External"/><Relationship Id="rId45" Type="http://schemas.openxmlformats.org/officeDocument/2006/relationships/hyperlink" Target="https://www.inrs.fr/accueil/publications/bdd/fichetox/fiche.html?refINRS=FICHETOX_69&amp;section=incendieExplosion" TargetMode="External"/><Relationship Id="rId46" Type="http://schemas.openxmlformats.org/officeDocument/2006/relationships/hyperlink" Target="https://www.inrs.fr/accueil/publications/bdd/fichetox/fiche.html?refINRS=FICHETOX_69&amp;section=pathologieToxicologie" TargetMode="External"/><Relationship Id="rId48" Type="http://schemas.openxmlformats.org/officeDocument/2006/relationships/hyperlink" Target="https://www.inrs.fr/accueil/publications/bdd/fichetox/fiche.html?refINRS=FICHETOX_69&amp;section=recommandations" TargetMode="External"/><Relationship Id="rId47" Type="http://schemas.openxmlformats.org/officeDocument/2006/relationships/hyperlink" Target="https://www.inrs.fr/accueil/publications/bdd/fichetox/fiche.html?refINRS=FICHETOX_69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41" Type="http://schemas.openxmlformats.org/officeDocument/2006/relationships/hyperlink" Target="https://www.inrs.fr/accueil/publications/bdd/fichetox/fiche.html?refINRS=FICHETOX_69" TargetMode="External"/><Relationship Id="rId44" Type="http://schemas.openxmlformats.org/officeDocument/2006/relationships/hyperlink" Target="https://www.inrs.fr/accueil/publications/bdd/fichetox/fiche.html?refINRS=FICHETOX_69&amp;section=VLEPMesurage" TargetMode="External"/><Relationship Id="rId49" Type="http://schemas.openxmlformats.org/officeDocument/2006/relationships/hyperlink" Target="https://www.inrs.fr/accueil/publications/bdd/fichetox/fiche.html?refINRS=FICHETOX_69&amp;section=bibliographieAuteurs" TargetMode="External"/><Relationship Id="rId43" Type="http://schemas.openxmlformats.org/officeDocument/2006/relationships/hyperlink" Target="https://www.inrs.fr/accueil/publications/bdd/fichetox/fiche.html?refINRS=FICHETOX_69&amp;section=caracteristiques" TargetMode="External"/><Relationship Id="rId42" Type="http://schemas.openxmlformats.org/officeDocument/2006/relationships/hyperlink" Target="https://www.inrs.fr/accueil/publications/bdd/fichetox/fiche.html?refINRS=FICHETOX_69&amp;section=generalites" TargetMode="External"/><Relationship Id="rId45" Type="http://schemas.openxmlformats.org/officeDocument/2006/relationships/hyperlink" Target="https://www.inrs.fr/accueil/publications/bdd/fichetox/fiche.html?refINRS=FICHETOX_69&amp;section=incendieExplosion" TargetMode="External"/><Relationship Id="rId46" Type="http://schemas.openxmlformats.org/officeDocument/2006/relationships/hyperlink" Target="https://www.inrs.fr/accueil/publications/bdd/fichetox/fiche.html?refINRS=FICHETOX_69&amp;section=pathologieToxicologie" TargetMode="External"/><Relationship Id="rId48" Type="http://schemas.openxmlformats.org/officeDocument/2006/relationships/hyperlink" Target="https://www.inrs.fr/accueil/publications/bdd/fichetox/fiche.html?refINRS=FICHETOX_69&amp;section=recommandations" TargetMode="External"/><Relationship Id="rId47" Type="http://schemas.openxmlformats.org/officeDocument/2006/relationships/hyperlink" Target="https://www.inrs.fr/accueil/publications/bdd/fichetox/fiche.html?refINRS=FICHETOX_69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38</Words>
  <Characters>167</Characters>
  <Application>Microsoft Office Word</Application>
  <DocSecurity>0</DocSecurity>
  <Lines>16</Lines>
  <Paragraphs>18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2026-06-16T12:09:49Z</dcterms:created>
  <dcterms:modified xsi:type="dcterms:W3CDTF">2026-06-16T12:09:49Z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