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4" Type="http://schemas.openxmlformats.org/officeDocument/2006/relationships/extended-properties" Target="docProps/app.xml"/><Relationship Id="rId3" Type="http://schemas.openxmlformats.org/package/2006/relationships/metadata/core-properties" Target="docProps/core.xml"/><Relationship Id="rId5"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sdt>
      <w:sdtPr>
        <w:docPartObj>
          <w:docPartGallery w:val="Table of Contents"/>
          <w:docPartUnique/>
        </w:docPartObj>
      </w:sdtPr>
      <w:sdtContent>
        <w:p>
          <w:pPr>
            <w:pStyle w:val="TOCHeading"/>
          </w:pPr>
          <w:r>
            <w:t xml:space="preserve">Table of Contents</w:t>
          </w:r>
        </w:p>
        <w:p>
          <w:r>
            <w:fldChar w:fldCharType="begin" w:dirty="true"/>
            <w:instrText xml:space="preserve">TOC \o "1-3" \h \z \u</w:instrText>
            <w:fldChar w:fldCharType="separate"/>
            <w:fldChar w:fldCharType="end"/>
          </w:r>
        </w:p>
      </w:sdtContent>
    </w:sdt>
    <w:p>
      <w:r>
        <w:br w:type="page"/>
      </w:r>
    </w:p>
    <w:tbl>
      <w:tblPr>
        <w:tblStyle w:val="TableGrid"/>
        <w:tblW w:type="pct" w:w="5000"/>
        <w:jc w:val="left"/>
        <w:tblLayout w:type="autofit"/>
        <w:tblLook w:firstRow="1" w:lastRow="0" w:firstColumn="0" w:lastColumn="0" w:noHBand="0" w:noVBand="1" w:val="000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960"/>
        <w:gridCol w:w="3960"/>
      </w:tblGrid>
      <w:tr>
        <w:tc>
          <w:tcPr/>
          <w:p>
            <w:pPr>
              <w:pStyle w:val="Compact"/>
              <w:rPr>
                <w:sz w:val="20"/>
                <w:szCs w:val="20"/>
              </w:rPr>
            </w:pPr>
            <w:r>
              <w:rPr>
                <w:sz w:val="20"/>
                <w:szCs w:val="20"/>
              </w:rPr>
              <w:t xml:space="preserve">Tilte</w:t>
            </w:r>
          </w:p>
        </w:tc>
        <w:tc>
          <w:tcPr/>
          <w:p>
            <w:pPr>
              <w:pStyle w:val="Compact"/>
              <w:rPr>
                <w:sz w:val="20"/>
                <w:szCs w:val="20"/>
              </w:rPr>
            </w:pPr>
            <w:r>
              <w:rPr>
                <w:sz w:val="20"/>
                <w:szCs w:val="20"/>
              </w:rPr>
              <w:t xml:space="preserve">EmilIA – Analyse des dangers du produit 2-ethoxyethanol</w:t>
            </w:r>
          </w:p>
        </w:tc>
      </w:tr>
      <w:tr>
        <w:tc>
          <w:tcPr/>
          <w:p>
            <w:pPr>
              <w:pStyle w:val="Compact"/>
              <w:rPr>
                <w:sz w:val="20"/>
                <w:szCs w:val="20"/>
              </w:rPr>
            </w:pPr>
            <w:r>
              <w:rPr>
                <w:sz w:val="20"/>
                <w:szCs w:val="20"/>
              </w:rPr>
              <w:t xml:space="preserve">Company</w:t>
            </w:r>
          </w:p>
        </w:tc>
        <w:tc>
          <w:tcPr/>
          <w:p>
            <w:pPr>
              <w:pStyle w:val="Compact"/>
              <w:rPr>
                <w:sz w:val="20"/>
                <w:szCs w:val="20"/>
              </w:rPr>
            </w:pPr>
            <w:r>
              <w:rPr>
                <w:sz w:val="20"/>
                <w:szCs w:val="20"/>
              </w:rPr>
              <w:t xml:space="preserve">Thermo Fisher Scientific</w:t>
            </w:r>
          </w:p>
        </w:tc>
      </w:tr>
      <w:tr>
        <w:tc>
          <w:tcPr/>
          <w:p>
            <w:pPr>
              <w:pStyle w:val="Compact"/>
              <w:rPr>
                <w:sz w:val="20"/>
                <w:szCs w:val="20"/>
              </w:rPr>
            </w:pPr>
            <w:r>
              <w:rPr>
                <w:sz w:val="20"/>
                <w:szCs w:val="20"/>
              </w:rPr>
              <w:t xml:space="preserve">Date</w:t>
            </w:r>
          </w:p>
        </w:tc>
        <w:tc>
          <w:tcPr/>
          <w:p>
            <w:pPr>
              <w:pStyle w:val="Compact"/>
              <w:rPr>
                <w:sz w:val="20"/>
                <w:szCs w:val="20"/>
              </w:rPr>
            </w:pPr>
            <w:r>
              <w:rPr>
                <w:sz w:val="20"/>
                <w:szCs w:val="20"/>
              </w:rPr>
              <w:t xml:space="preserve">2026-06-16</w:t>
            </w:r>
          </w:p>
        </w:tc>
      </w:tr>
      <w:tr>
        <w:tc>
          <w:tcPr/>
          <w:p>
            <w:pPr>
              <w:pStyle w:val="Compact"/>
              <w:rPr>
                <w:sz w:val="20"/>
                <w:szCs w:val="20"/>
              </w:rPr>
            </w:pPr>
            <w:r>
              <w:rPr>
                <w:sz w:val="20"/>
                <w:szCs w:val="20"/>
              </w:rPr>
              <w:t xml:space="preserve">Version</w:t>
            </w:r>
          </w:p>
        </w:tc>
        <w:tc>
          <w:tcPr/>
          <w:p>
            <w:pPr>
              <w:pStyle w:val="Compact"/>
              <w:rPr>
                <w:sz w:val="20"/>
                <w:szCs w:val="20"/>
              </w:rPr>
            </w:pPr>
            <w:r>
              <w:rPr>
                <w:sz w:val="20"/>
                <w:szCs w:val="20"/>
              </w:rPr>
              <w:t xml:space="preserve">Rev0</w:t>
            </w:r>
          </w:p>
        </w:tc>
      </w:tr>
      <w:tr>
        <w:tc>
          <w:tcPr/>
          <w:p>
            <w:pPr>
              <w:pStyle w:val="Compact"/>
              <w:rPr>
                <w:sz w:val="20"/>
                <w:szCs w:val="20"/>
              </w:rPr>
            </w:pPr>
            <w:r>
              <w:rPr>
                <w:sz w:val="20"/>
                <w:szCs w:val="20"/>
              </w:rPr>
              <w:t xml:space="preserve">Auteur</w:t>
            </w:r>
          </w:p>
        </w:tc>
        <w:tc>
          <w:tcPr/>
          <w:p>
            <w:pPr>
              <w:pStyle w:val="Compact"/>
              <w:rPr>
                <w:sz w:val="20"/>
                <w:szCs w:val="20"/>
              </w:rPr>
            </w:pPr>
            <w:r>
              <w:rPr>
                <w:sz w:val="20"/>
                <w:szCs w:val="20"/>
              </w:rPr>
              <w:t xml:space="preserve">Emilia 0.7.1</w:t>
            </w:r>
          </w:p>
        </w:tc>
      </w:tr>
      <w:tr>
        <w:tc>
          <w:tcPr/>
          <w:p>
            <w:pPr>
              <w:pStyle w:val="Compact"/>
              <w:rPr>
                <w:sz w:val="20"/>
                <w:szCs w:val="20"/>
              </w:rPr>
            </w:pPr>
          </w:p>
        </w:tc>
        <w:tc>
          <w:tcPr/>
          <w:p>
            <w:pPr>
              <w:pStyle w:val="Compact"/>
              <w:rPr>
                <w:sz w:val="20"/>
                <w:szCs w:val="20"/>
              </w:rPr>
            </w:pPr>
          </w:p>
        </w:tc>
      </w:tr>
      <w:tr>
        <w:tc>
          <w:tcPr/>
          <w:p>
            <w:pPr>
              <w:pStyle w:val="Compact"/>
              <w:rPr>
                <w:sz w:val="20"/>
                <w:szCs w:val="20"/>
              </w:rPr>
            </w:pPr>
            <w:r>
              <w:rPr>
                <w:sz w:val="20"/>
                <w:szCs w:val="20"/>
              </w:rPr>
              <w:drawing>
                <wp:inline>
                  <wp:extent cx="2159999" cy="592098"/>
                  <wp:effectExtent b="0" l="0" r="0" t="0"/>
                  <wp:docPr descr="Modyva Logo" title="" id="21" name="Picture"/>
                  <a:graphic>
                    <a:graphicData uri="http://schemas.openxmlformats.org/drawingml/2006/picture">
                      <pic:pic>
                        <pic:nvPicPr>
                          <pic:cNvPr descr="templates/modyva.png" id="22" name="Picture"/>
                          <pic:cNvPicPr>
                            <a:picLocks noChangeArrowheads="1" noChangeAspect="1"/>
                          </pic:cNvPicPr>
                        </pic:nvPicPr>
                        <pic:blipFill>
                          <a:blip r:embed="rId20"/>
                          <a:stretch>
                            <a:fillRect/>
                          </a:stretch>
                        </pic:blipFill>
                        <pic:spPr bwMode="auto">
                          <a:xfrm>
                            <a:off x="0" y="0"/>
                            <a:ext cx="2159999" cy="592098"/>
                          </a:xfrm>
                          <a:prstGeom prst="rect">
                            <a:avLst/>
                          </a:prstGeom>
                          <a:noFill/>
                          <a:ln w="9525">
                            <a:noFill/>
                            <a:headEnd/>
                            <a:tailEnd/>
                          </a:ln>
                        </pic:spPr>
                      </pic:pic>
                    </a:graphicData>
                  </a:graphic>
                </wp:inline>
              </w:drawing>
            </w:r>
          </w:p>
        </w:tc>
        <w:tc>
          <w:tcPr/>
          <w:p>
            <w:pPr>
              <w:pStyle w:val="Compact"/>
              <w:rPr>
                <w:sz w:val="20"/>
                <w:szCs w:val="20"/>
              </w:rPr>
            </w:pPr>
            <w:r>
              <w:rPr>
                <w:sz w:val="20"/>
                <w:szCs w:val="20"/>
              </w:rPr>
              <w:drawing>
                <wp:inline>
                  <wp:extent cx="2159999" cy="848259"/>
                  <wp:effectExtent b="0" l="0" r="0" t="0"/>
                  <wp:docPr descr="Cohezio Logo" title="" id="24" name="Picture"/>
                  <a:graphic>
                    <a:graphicData uri="http://schemas.openxmlformats.org/drawingml/2006/picture">
                      <pic:pic>
                        <pic:nvPicPr>
                          <pic:cNvPr descr="templates/cohezio.png" id="25" name="Picture"/>
                          <pic:cNvPicPr>
                            <a:picLocks noChangeArrowheads="1" noChangeAspect="1"/>
                          </pic:cNvPicPr>
                        </pic:nvPicPr>
                        <pic:blipFill>
                          <a:blip r:embed="rId23"/>
                          <a:stretch>
                            <a:fillRect/>
                          </a:stretch>
                        </pic:blipFill>
                        <pic:spPr bwMode="auto">
                          <a:xfrm>
                            <a:off x="0" y="0"/>
                            <a:ext cx="2159999" cy="848259"/>
                          </a:xfrm>
                          <a:prstGeom prst="rect">
                            <a:avLst/>
                          </a:prstGeom>
                          <a:noFill/>
                          <a:ln w="9525">
                            <a:noFill/>
                            <a:headEnd/>
                            <a:tailEnd/>
                          </a:ln>
                        </pic:spPr>
                      </pic:pic>
                    </a:graphicData>
                  </a:graphic>
                </wp:inline>
              </w:drawing>
            </w:r>
          </w:p>
        </w:tc>
      </w:tr>
    </w:tbl>
    <w:p>
      <w:r>
        <w:br w:type="page"/>
      </w:r>
    </w:p>
    <w:bookmarkStart w:id="26" w:name="introduction"/>
    <w:p>
      <w:pPr>
        <w:pStyle w:val="Heading1"/>
      </w:pPr>
      <w:r>
        <w:t xml:space="preserve">Introduction</w:t>
      </w:r>
    </w:p>
    <w:p>
      <w:pPr>
        <w:pStyle w:val="FirstParagraph"/>
      </w:pPr>
      <w:r>
        <w:t xml:space="preserve">Le présent rapport analyse les dangers intrinsèques du produit</w:t>
      </w:r>
      <w:r>
        <w:t xml:space="preserve"> </w:t>
      </w:r>
      <w:r>
        <w:rPr>
          <w:b/>
          <w:bCs/>
        </w:rPr>
        <w:t xml:space="preserve">2-ethoxyethanol</w:t>
      </w:r>
      <w:r>
        <w:t xml:space="preserve">.</w:t>
      </w:r>
    </w:p>
    <w:p>
      <w:pPr>
        <w:pStyle w:val="BodyText"/>
      </w:pPr>
      <w:r>
        <w:t xml:space="preserve">L’analyse vise à répondre aux questions suivantes :</w:t>
      </w:r>
    </w:p>
    <w:p>
      <w:pPr>
        <w:pStyle w:val="Compact"/>
        <w:numPr>
          <w:ilvl w:val="0"/>
          <w:numId w:val="1001"/>
        </w:numPr>
      </w:pPr>
      <w:r>
        <w:t xml:space="preserve">Quels sont les dangers associés au produit et à ses substances ?</w:t>
      </w:r>
    </w:p>
    <w:p>
      <w:pPr>
        <w:pStyle w:val="Compact"/>
        <w:numPr>
          <w:ilvl w:val="0"/>
          <w:numId w:val="1001"/>
        </w:numPr>
      </w:pPr>
      <w:r>
        <w:t xml:space="preserve">Les substances présentes sont-elles soumises à des valeurs limites d’exposition ou à des classifications particulières (CMR, SEVESO, …) ?</w:t>
      </w:r>
    </w:p>
    <w:p>
      <w:pPr>
        <w:pStyle w:val="Compact"/>
        <w:numPr>
          <w:ilvl w:val="0"/>
          <w:numId w:val="1001"/>
        </w:numPr>
      </w:pPr>
      <w:r>
        <w:t xml:space="preserve">Quels sont les dangers pour la santé connus pour ces différentes substances ?</w:t>
      </w:r>
    </w:p>
    <w:p>
      <w:pPr>
        <w:pStyle w:val="Compact"/>
        <w:numPr>
          <w:ilvl w:val="0"/>
          <w:numId w:val="1001"/>
        </w:numPr>
      </w:pPr>
      <w:r>
        <w:t xml:space="preserve">Est-ce que la FDS reçue présente potentiellement des erreurs (obsolescence, changements dans les classifications de l’ECHA, …) ?</w:t>
      </w:r>
    </w:p>
    <w:p>
      <w:pPr>
        <w:pStyle w:val="Compact"/>
        <w:numPr>
          <w:ilvl w:val="0"/>
          <w:numId w:val="1001"/>
        </w:numPr>
      </w:pPr>
      <w:r>
        <w:t xml:space="preserve">Quelles mesures de prévention doivent être envisagées lors de l’utilisation de ce produit ?</w:t>
      </w:r>
    </w:p>
    <w:p>
      <w:pPr>
        <w:pStyle w:val="FirstParagraph"/>
      </w:pPr>
      <w:r>
        <w:t xml:space="preserve">La fiche de données de sécurité (FDS) a été traitée à l’aide de l’outil d’intelligence artificielle</w:t>
      </w:r>
      <w:r>
        <w:t xml:space="preserve"> </w:t>
      </w:r>
      <w:r>
        <w:rPr>
          <w:b/>
          <w:bCs/>
        </w:rPr>
        <w:t xml:space="preserve">EmilIA</w:t>
      </w:r>
      <w:r>
        <w:t xml:space="preserve"> </w:t>
      </w:r>
      <w:r>
        <w:t xml:space="preserve">développé par</w:t>
      </w:r>
      <w:r>
        <w:t xml:space="preserve"> </w:t>
      </w:r>
      <w:r>
        <w:rPr>
          <w:b/>
          <w:bCs/>
        </w:rPr>
        <w:t xml:space="preserve">Modyva</w:t>
      </w:r>
      <w:r>
        <w:t xml:space="preserve">. Les résultats ont été revus et contrôlés par Modyva.</w:t>
      </w:r>
      <w:r>
        <w:br/>
      </w:r>
      <w:r>
        <w:t xml:space="preserve">L’analyse se limite à une analyse des dangers. L’exposition au risque basée sur les conditions réelles d’utilisation in-situ n’a pas été évaluée.</w:t>
      </w:r>
    </w:p>
    <w:p>
      <w:pPr>
        <w:pStyle w:val="BodyText"/>
      </w:pPr>
      <w:r>
        <w:t xml:space="preserve">Cette étude est basée sur les prescriptions et recommandations suivantes :</w:t>
      </w:r>
    </w:p>
    <w:p>
      <w:pPr>
        <w:pStyle w:val="Compact"/>
        <w:numPr>
          <w:ilvl w:val="0"/>
          <w:numId w:val="1002"/>
        </w:numPr>
      </w:pPr>
      <w:r>
        <w:t xml:space="preserve">LIVRE VI — Agents chimiques, cancérigènes, mutagènes et reprotoxiques</w:t>
      </w:r>
    </w:p>
    <w:p>
      <w:pPr>
        <w:pStyle w:val="Compact"/>
        <w:numPr>
          <w:ilvl w:val="0"/>
          <w:numId w:val="1002"/>
        </w:numPr>
      </w:pPr>
      <w:r>
        <w:t xml:space="preserve">Fiches toxicologiques de l’INRS</w:t>
      </w:r>
    </w:p>
    <w:p>
      <w:pPr>
        <w:pStyle w:val="Compact"/>
        <w:numPr>
          <w:ilvl w:val="0"/>
          <w:numId w:val="1002"/>
        </w:numPr>
      </w:pPr>
      <w:r>
        <w:t xml:space="preserve">Directive 2012/18/UE (SEVESO)</w:t>
      </w:r>
    </w:p>
    <w:p>
      <w:pPr>
        <w:pStyle w:val="Compact"/>
        <w:numPr>
          <w:ilvl w:val="0"/>
          <w:numId w:val="1002"/>
        </w:numPr>
      </w:pPr>
      <w:r>
        <w:t xml:space="preserve">Règlement (CE) 1272/2008 (CLP)</w:t>
      </w:r>
    </w:p>
    <w:p>
      <w:pPr>
        <w:pStyle w:val="Compact"/>
        <w:numPr>
          <w:ilvl w:val="0"/>
          <w:numId w:val="1002"/>
        </w:numPr>
      </w:pPr>
      <w:r>
        <w:t xml:space="preserve">Règlement (CE) 1907/2006 (REACH) — Annexe XVII / Annexe XIV</w:t>
      </w:r>
    </w:p>
    <w:p>
      <w:pPr>
        <w:pStyle w:val="Compact"/>
        <w:numPr>
          <w:ilvl w:val="0"/>
          <w:numId w:val="1002"/>
        </w:numPr>
      </w:pPr>
      <w:r>
        <w:t xml:space="preserve">Règlement (UE) 2019/1021 (POP)</w:t>
      </w:r>
    </w:p>
    <w:p>
      <w:pPr>
        <w:pStyle w:val="Compact"/>
        <w:numPr>
          <w:ilvl w:val="0"/>
          <w:numId w:val="1002"/>
        </w:numPr>
      </w:pPr>
      <w:r>
        <w:t xml:space="preserve">Règlement (UE) 528/2012 (Biocides)</w:t>
      </w:r>
    </w:p>
    <w:p>
      <w:r>
        <w:br w:type="page"/>
      </w:r>
    </w:p>
    <w:bookmarkEnd w:id="26"/>
    <w:bookmarkStart w:id="55" w:name="analyse-des-dangers-2-ethoxyethanol"/>
    <w:p>
      <w:pPr>
        <w:pStyle w:val="Heading1"/>
      </w:pPr>
      <w:r>
        <w:t xml:space="preserve">Analyse des dangers : 2-ethoxyethanol</w:t>
      </w:r>
    </w:p>
    <w:p>
      <w:pPr>
        <w:pStyle w:val="FirstParagraph"/>
      </w:pPr>
      <w:r>
        <w:t xml:space="preserve">Dans la suite, nous détaillons les dangers associés au produit</w:t>
      </w:r>
      <w:r>
        <w:t xml:space="preserve"> </w:t>
      </w:r>
      <w:r>
        <w:rPr>
          <w:b/>
          <w:bCs/>
        </w:rPr>
        <w:t xml:space="preserve">2-ethoxyethanol</w:t>
      </w:r>
      <w:r>
        <w:t xml:space="preserve">, les éléments potentiellement erronés ou obsolètes relevés dans la FDS, les classifications des différentes substances présentes et les protections individuelles à envisager.</w:t>
      </w:r>
    </w:p>
    <w:bookmarkStart w:id="27" w:name="X8dba009bd9247913838556218799ec0ac58d74c"/>
    <w:p>
      <w:pPr>
        <w:pStyle w:val="Heading2"/>
      </w:pPr>
      <w:r>
        <w:t xml:space="preserve">Remarques préalables relatives au contenu de la FDS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582"/>
        <w:gridCol w:w="4337"/>
      </w:tblGrid>
      <w:tr>
        <w:trPr>
          <w:tblHeader w:val="on"/>
        </w:trPr>
        <w:tc>
          <w:tcPr/>
          <w:p>
            <w:pPr>
              <w:pStyle w:val="Compact"/>
              <w:rPr>
                <w:sz w:val="20"/>
                <w:szCs w:val="20"/>
              </w:rPr>
            </w:pPr>
            <w:r>
              <w:rPr>
                <w:sz w:val="20"/>
                <w:szCs w:val="20"/>
              </w:rPr>
              <w:t xml:space="preserve">Propriété</w:t>
            </w:r>
          </w:p>
        </w:tc>
        <w:tc>
          <w:tcPr/>
          <w:p>
            <w:pPr>
              <w:pStyle w:val="Compact"/>
              <w:rPr>
                <w:sz w:val="20"/>
                <w:szCs w:val="20"/>
              </w:rPr>
            </w:pPr>
            <w:r>
              <w:rPr>
                <w:sz w:val="20"/>
                <w:szCs w:val="20"/>
              </w:rPr>
              <w:t xml:space="preserve">Valeur</w:t>
            </w:r>
          </w:p>
        </w:tc>
      </w:tr>
      <w:tr>
        <w:tc>
          <w:tcPr/>
          <w:p>
            <w:pPr>
              <w:pStyle w:val="Compact"/>
              <w:rPr>
                <w:sz w:val="20"/>
                <w:szCs w:val="20"/>
              </w:rPr>
            </w:pPr>
            <w:r>
              <w:rPr>
                <w:sz w:val="20"/>
                <w:szCs w:val="20"/>
              </w:rPr>
              <w:t xml:space="preserve">Fabriqué par</w:t>
            </w:r>
          </w:p>
        </w:tc>
        <w:tc>
          <w:tcPr/>
          <w:p>
            <w:pPr>
              <w:pStyle w:val="Compact"/>
              <w:rPr>
                <w:sz w:val="20"/>
                <w:szCs w:val="20"/>
              </w:rPr>
            </w:pPr>
            <w:r>
              <w:rPr>
                <w:sz w:val="20"/>
                <w:szCs w:val="20"/>
              </w:rPr>
              <w:t xml:space="preserve">Thermo Fisher Scientific</w:t>
            </w:r>
          </w:p>
        </w:tc>
      </w:tr>
      <w:tr>
        <w:tc>
          <w:tcPr/>
          <w:p>
            <w:pPr>
              <w:pStyle w:val="Compact"/>
              <w:rPr>
                <w:sz w:val="20"/>
                <w:szCs w:val="20"/>
              </w:rPr>
            </w:pPr>
            <w:r>
              <w:rPr>
                <w:sz w:val="20"/>
                <w:szCs w:val="20"/>
              </w:rPr>
              <w:t xml:space="preserve">État physique</w:t>
            </w:r>
          </w:p>
        </w:tc>
        <w:tc>
          <w:tcPr/>
          <w:p>
            <w:pPr>
              <w:pStyle w:val="Compact"/>
              <w:rPr>
                <w:sz w:val="20"/>
                <w:szCs w:val="20"/>
              </w:rPr>
            </w:pPr>
            <w:r>
              <w:rPr>
                <w:sz w:val="20"/>
                <w:szCs w:val="20"/>
              </w:rPr>
              <w:t xml:space="preserve">liquide</w:t>
            </w:r>
          </w:p>
        </w:tc>
      </w:tr>
      <w:tr>
        <w:tc>
          <w:tcPr/>
          <w:p>
            <w:pPr>
              <w:pStyle w:val="Compact"/>
              <w:rPr>
                <w:sz w:val="20"/>
                <w:szCs w:val="20"/>
              </w:rPr>
            </w:pPr>
            <w:r>
              <w:rPr>
                <w:sz w:val="20"/>
                <w:szCs w:val="20"/>
              </w:rPr>
              <w:t xml:space="preserve">Forme</w:t>
            </w:r>
          </w:p>
        </w:tc>
        <w:tc>
          <w:tcPr/>
          <w:p>
            <w:pPr>
              <w:pStyle w:val="Compact"/>
              <w:rPr>
                <w:sz w:val="20"/>
                <w:szCs w:val="20"/>
              </w:rPr>
            </w:pPr>
            <w:r>
              <w:rPr>
                <w:sz w:val="20"/>
                <w:szCs w:val="20"/>
              </w:rPr>
              <w:t xml:space="preserve">-</w:t>
            </w:r>
          </w:p>
        </w:tc>
      </w:tr>
      <w:tr>
        <w:tc>
          <w:tcPr/>
          <w:p>
            <w:pPr>
              <w:pStyle w:val="Compact"/>
              <w:rPr>
                <w:sz w:val="20"/>
                <w:szCs w:val="20"/>
              </w:rPr>
            </w:pPr>
            <w:r>
              <w:rPr>
                <w:sz w:val="20"/>
                <w:szCs w:val="20"/>
              </w:rPr>
              <w:t xml:space="preserve">pH</w:t>
            </w:r>
          </w:p>
        </w:tc>
        <w:tc>
          <w:tcPr/>
          <w:p>
            <w:pPr>
              <w:pStyle w:val="Compact"/>
              <w:rPr>
                <w:sz w:val="20"/>
                <w:szCs w:val="20"/>
              </w:rPr>
            </w:pPr>
            <w:r>
              <w:rPr>
                <w:sz w:val="20"/>
                <w:szCs w:val="20"/>
              </w:rPr>
              <w:t xml:space="preserve">7</w:t>
            </w:r>
          </w:p>
        </w:tc>
      </w:tr>
      <w:tr>
        <w:tc>
          <w:tcPr/>
          <w:p>
            <w:pPr>
              <w:pStyle w:val="Compact"/>
              <w:rPr>
                <w:sz w:val="20"/>
                <w:szCs w:val="20"/>
              </w:rPr>
            </w:pPr>
            <w:r>
              <w:rPr>
                <w:sz w:val="20"/>
                <w:szCs w:val="20"/>
              </w:rPr>
              <w:t xml:space="preserve">Usage</w:t>
            </w:r>
          </w:p>
        </w:tc>
        <w:tc>
          <w:tcPr/>
          <w:p>
            <w:pPr>
              <w:pStyle w:val="Compact"/>
              <w:rPr>
                <w:sz w:val="20"/>
                <w:szCs w:val="20"/>
              </w:rPr>
            </w:pPr>
            <w:r>
              <w:rPr>
                <w:sz w:val="20"/>
                <w:szCs w:val="20"/>
              </w:rPr>
              <w:t xml:space="preserve">Utilisation recommandée : substances chimiques de laboratoire.</w:t>
            </w:r>
          </w:p>
        </w:tc>
      </w:tr>
      <w:tr>
        <w:tc>
          <w:tcPr/>
          <w:p>
            <w:pPr>
              <w:pStyle w:val="Compact"/>
              <w:rPr>
                <w:sz w:val="20"/>
                <w:szCs w:val="20"/>
              </w:rPr>
            </w:pPr>
            <w:r>
              <w:rPr>
                <w:sz w:val="20"/>
                <w:szCs w:val="20"/>
              </w:rPr>
              <w:t xml:space="preserve">Date FDS</w:t>
            </w:r>
          </w:p>
        </w:tc>
        <w:tc>
          <w:tcPr/>
          <w:p>
            <w:pPr>
              <w:pStyle w:val="Compact"/>
              <w:rPr>
                <w:sz w:val="20"/>
                <w:szCs w:val="20"/>
              </w:rPr>
            </w:pPr>
            <w:r>
              <w:rPr>
                <w:sz w:val="20"/>
                <w:szCs w:val="20"/>
              </w:rPr>
              <w:t xml:space="preserve">2023-10-19</w:t>
            </w:r>
          </w:p>
        </w:tc>
      </w:tr>
    </w:tbl>
    <w:p>
      <w:pPr>
        <w:pStyle w:val="BodyText"/>
      </w:pPr>
      <w:r>
        <w:t xml:space="preserve"> </w:t>
      </w:r>
      <w:r>
        <w:t xml:space="preserve">La FDS date du 2023-10-19. Elle a donc 2 an(s).</w:t>
      </w:r>
    </w:p>
    <w:bookmarkEnd w:id="27"/>
    <w:bookmarkStart w:id="29" w:name="erreurs-de-classification"/>
    <w:p>
      <w:pPr>
        <w:pStyle w:val="Heading2"/>
      </w:pPr>
      <w:r>
        <w:t xml:space="preserve">Erreurs de classification</w:t>
      </w:r>
    </w:p>
    <w:bookmarkStart w:id="28" w:name="produit"/>
    <w:p>
      <w:pPr>
        <w:pStyle w:val="Heading3"/>
      </w:pPr>
      <w:r>
        <w:t xml:space="preserve">Produit</w:t>
      </w:r>
    </w:p>
    <w:p>
      <w:pPr>
        <w:pStyle w:val="FirstParagraph"/>
      </w:pPr>
      <w:r>
        <w:t xml:space="preserve">EmilIA a identifié les erreurs de classification potentielles suivantes dans la FDS :</w:t>
      </w:r>
    </w:p>
    <w:p>
      <w:pPr>
        <w:pStyle w:val="Compact"/>
        <w:numPr>
          <w:ilvl w:val="0"/>
          <w:numId w:val="1003"/>
        </w:numPr>
      </w:pPr>
      <w:r>
        <w:t xml:space="preserve">La substance Ether monoéthylique de l’éthylèneglycol devrait être classée H360FD selon les dernières classifications harmonisées publiées par l’ECHA.</w:t>
      </w:r>
    </w:p>
    <w:bookmarkEnd w:id="28"/>
    <w:bookmarkEnd w:id="29"/>
    <w:bookmarkStart w:id="39" w:name="X8590ab4bbc4e90345d03c8c67bc0c03dd205453"/>
    <w:p>
      <w:pPr>
        <w:pStyle w:val="Heading2"/>
      </w:pPr>
      <w:r>
        <w:t xml:space="preserve">Dangers, conseils de prudence et classification pour le transport du produit</w:t>
      </w:r>
    </w:p>
    <w:p>
      <w:pPr>
        <w:pStyle w:val="FirstParagraph"/>
      </w:pPr>
      <w:r>
        <w:rPr>
          <w:b/>
          <w:bCs/>
        </w:rPr>
        <w:t xml:space="preserve">Mention d’avertissement</w:t>
      </w:r>
      <w:r>
        <w:t xml:space="preserve"> </w:t>
      </w:r>
      <w:r>
        <w:t xml:space="preserve">:</w:t>
      </w:r>
      <w:r>
        <w:t xml:space="preserve"> </w:t>
      </w:r>
      <w:r>
        <w:t xml:space="preserve">Attention</w:t>
      </w:r>
    </w:p>
    <w:p>
      <w:pPr>
        <w:pStyle w:val="BodyText"/>
      </w:pPr>
      <w:r>
        <w:rPr>
          <w:b/>
          <w:bCs/>
        </w:rPr>
        <w:t xml:space="preserve">Pictogrammes (SGH)</w:t>
      </w:r>
      <w:r>
        <w:t xml:space="preserve"> </w:t>
      </w:r>
      <w:r>
        <w:t xml:space="preserve">:</w:t>
      </w:r>
    </w:p>
    <w:p>
      <w:pPr>
        <w:pStyle w:val="BodyText"/>
      </w:pPr>
      <w:r>
        <w:drawing>
          <wp:inline>
            <wp:extent cx="719999" cy="719999"/>
            <wp:effectExtent b="0" l="0" r="0" t="0"/>
            <wp:docPr descr="Inflammable" title="" id="31" name="Picture"/>
            <a:graphic>
              <a:graphicData uri="http://schemas.openxmlformats.org/drawingml/2006/picture">
                <pic:pic>
                  <pic:nvPicPr>
                    <pic:cNvPr descr="templates/SGH02.png" id="32" name="Picture"/>
                    <pic:cNvPicPr>
                      <a:picLocks noChangeArrowheads="1" noChangeAspect="1"/>
                    </pic:cNvPicPr>
                  </pic:nvPicPr>
                  <pic:blipFill>
                    <a:blip r:embed="rId30"/>
                    <a:stretch>
                      <a:fillRect/>
                    </a:stretch>
                  </pic:blipFill>
                  <pic:spPr bwMode="auto">
                    <a:xfrm>
                      <a:off x="0" y="0"/>
                      <a:ext cx="719999" cy="719999"/>
                    </a:xfrm>
                    <a:prstGeom prst="rect">
                      <a:avLst/>
                    </a:prstGeom>
                    <a:noFill/>
                    <a:ln w="9525">
                      <a:noFill/>
                      <a:headEnd/>
                      <a:tailEnd/>
                    </a:ln>
                  </pic:spPr>
                </pic:pic>
              </a:graphicData>
            </a:graphic>
          </wp:inline>
        </w:drawing>
      </w:r>
      <w:r>
        <w:t xml:space="preserve">Inflammable</w:t>
      </w:r>
    </w:p>
    <w:p>
      <w:pPr>
        <w:pStyle w:val="BodyText"/>
      </w:pPr>
      <w:r>
        <w:drawing>
          <wp:inline>
            <wp:extent cx="719999" cy="719999"/>
            <wp:effectExtent b="0" l="0" r="0" t="0"/>
            <wp:docPr descr="Toxicité aiguë" title="" id="34" name="Picture"/>
            <a:graphic>
              <a:graphicData uri="http://schemas.openxmlformats.org/drawingml/2006/picture">
                <pic:pic>
                  <pic:nvPicPr>
                    <pic:cNvPr descr="templates/SGH06.png" id="35" name="Picture"/>
                    <pic:cNvPicPr>
                      <a:picLocks noChangeArrowheads="1" noChangeAspect="1"/>
                    </pic:cNvPicPr>
                  </pic:nvPicPr>
                  <pic:blipFill>
                    <a:blip r:embed="rId33"/>
                    <a:stretch>
                      <a:fillRect/>
                    </a:stretch>
                  </pic:blipFill>
                  <pic:spPr bwMode="auto">
                    <a:xfrm>
                      <a:off x="0" y="0"/>
                      <a:ext cx="719999" cy="719999"/>
                    </a:xfrm>
                    <a:prstGeom prst="rect">
                      <a:avLst/>
                    </a:prstGeom>
                    <a:noFill/>
                    <a:ln w="9525">
                      <a:noFill/>
                      <a:headEnd/>
                      <a:tailEnd/>
                    </a:ln>
                  </pic:spPr>
                </pic:pic>
              </a:graphicData>
            </a:graphic>
          </wp:inline>
        </w:drawing>
      </w:r>
      <w:r>
        <w:t xml:space="preserve">Toxicité aiguë</w:t>
      </w:r>
      <w:r>
        <w:t xml:space="preserve"> </w:t>
      </w:r>
      <w:r>
        <w:drawing>
          <wp:inline>
            <wp:extent cx="719999" cy="719999"/>
            <wp:effectExtent b="0" l="0" r="0" t="0"/>
            <wp:docPr descr="Nocif / Irritant" title="" id="37" name="Picture"/>
            <a:graphic>
              <a:graphicData uri="http://schemas.openxmlformats.org/drawingml/2006/picture">
                <pic:pic>
                  <pic:nvPicPr>
                    <pic:cNvPr descr="templates/SGH07.png" id="38" name="Picture"/>
                    <pic:cNvPicPr>
                      <a:picLocks noChangeArrowheads="1" noChangeAspect="1"/>
                    </pic:cNvPicPr>
                  </pic:nvPicPr>
                  <pic:blipFill>
                    <a:blip r:embed="rId36"/>
                    <a:stretch>
                      <a:fillRect/>
                    </a:stretch>
                  </pic:blipFill>
                  <pic:spPr bwMode="auto">
                    <a:xfrm>
                      <a:off x="0" y="0"/>
                      <a:ext cx="719999" cy="719999"/>
                    </a:xfrm>
                    <a:prstGeom prst="rect">
                      <a:avLst/>
                    </a:prstGeom>
                    <a:noFill/>
                    <a:ln w="9525">
                      <a:noFill/>
                      <a:headEnd/>
                      <a:tailEnd/>
                    </a:ln>
                  </pic:spPr>
                </pic:pic>
              </a:graphicData>
            </a:graphic>
          </wp:inline>
        </w:drawing>
      </w:r>
      <w:r>
        <w:t xml:space="preserve">Nocif / Irritant</w:t>
      </w:r>
    </w:p>
    <w:p>
      <w:pPr>
        <w:pStyle w:val="BodyText"/>
      </w:pPr>
      <w:r>
        <w:rPr>
          <w:b/>
          <w:bCs/>
        </w:rPr>
        <w:t xml:space="preserve">Mentions de danger</w:t>
      </w:r>
      <w:r>
        <w:t xml:space="preserve"> </w:t>
      </w:r>
      <w:r>
        <w:t xml:space="preserve">:</w:t>
      </w:r>
    </w:p>
    <w:p>
      <w:pPr>
        <w:numPr>
          <w:ilvl w:val="0"/>
          <w:numId w:val="1004"/>
        </w:numPr>
      </w:pPr>
      <w:r>
        <w:t xml:space="preserve">H226</w:t>
      </w:r>
      <w:r>
        <w:t xml:space="preserve"> </w:t>
      </w:r>
      <w:r>
        <w:t xml:space="preserve">Liquide et vapeurs inflammables.</w:t>
      </w:r>
    </w:p>
    <w:p>
      <w:pPr>
        <w:numPr>
          <w:ilvl w:val="0"/>
          <w:numId w:val="1004"/>
        </w:numPr>
      </w:pPr>
      <w:r>
        <w:t xml:space="preserve">H302</w:t>
      </w:r>
      <w:r>
        <w:t xml:space="preserve"> </w:t>
      </w:r>
      <w:r>
        <w:t xml:space="preserve">Nocif en cas d’ingestion.</w:t>
      </w:r>
    </w:p>
    <w:p>
      <w:pPr>
        <w:numPr>
          <w:ilvl w:val="0"/>
          <w:numId w:val="1004"/>
        </w:numPr>
      </w:pPr>
      <w:r>
        <w:t xml:space="preserve">H331</w:t>
      </w:r>
      <w:r>
        <w:t xml:space="preserve"> </w:t>
      </w:r>
      <w:r>
        <w:t xml:space="preserve">Toxique par inhalation.</w:t>
      </w:r>
    </w:p>
    <w:p>
      <w:pPr>
        <w:pStyle w:val="FirstParagraph"/>
      </w:pPr>
      <w:r>
        <w:rPr>
          <w:b/>
          <w:bCs/>
        </w:rPr>
        <w:t xml:space="preserve">Conseils de prudence</w:t>
      </w:r>
      <w:r>
        <w:t xml:space="preserve"> </w:t>
      </w:r>
      <w:r>
        <w:t xml:space="preserve">:</w:t>
      </w:r>
    </w:p>
    <w:p>
      <w:pPr>
        <w:numPr>
          <w:ilvl w:val="0"/>
          <w:numId w:val="1005"/>
        </w:numPr>
      </w:pPr>
      <w:r>
        <w:t xml:space="preserve">P210</w:t>
      </w:r>
      <w:r>
        <w:t xml:space="preserve"> </w:t>
      </w:r>
      <w:r>
        <w:t xml:space="preserve">P210</w:t>
      </w:r>
    </w:p>
    <w:p>
      <w:pPr>
        <w:numPr>
          <w:ilvl w:val="0"/>
          <w:numId w:val="1005"/>
        </w:numPr>
      </w:pPr>
      <w:r>
        <w:t xml:space="preserve">P280</w:t>
      </w:r>
      <w:r>
        <w:t xml:space="preserve"> </w:t>
      </w:r>
      <w:r>
        <w:t xml:space="preserve">Porter des gants de protection/des vêtements de protection/un équipement de protection des yeux/ du visage.</w:t>
      </w:r>
    </w:p>
    <w:p>
      <w:pPr>
        <w:numPr>
          <w:ilvl w:val="0"/>
          <w:numId w:val="1005"/>
        </w:numPr>
      </w:pPr>
      <w:r>
        <w:t xml:space="preserve">P301+P330+P331</w:t>
      </w:r>
      <w:r>
        <w:t xml:space="preserve"> </w:t>
      </w:r>
      <w:r>
        <w:t xml:space="preserve">EN CAS D’INGESTION: rincer la bouche. NE PAS faire vomir.</w:t>
      </w:r>
    </w:p>
    <w:p>
      <w:pPr>
        <w:numPr>
          <w:ilvl w:val="0"/>
          <w:numId w:val="1005"/>
        </w:numPr>
      </w:pPr>
      <w:r>
        <w:t xml:space="preserve">P303+P361+P353</w:t>
      </w:r>
      <w:r>
        <w:t xml:space="preserve"> </w:t>
      </w:r>
      <w:r>
        <w:t xml:space="preserve">EN CAS DE CONTACT AVEC LA PEAU (ou les cheveux):</w:t>
      </w:r>
    </w:p>
    <w:p>
      <w:pPr>
        <w:numPr>
          <w:ilvl w:val="0"/>
          <w:numId w:val="1005"/>
        </w:numPr>
      </w:pPr>
      <w:r>
        <w:t xml:space="preserve">P304+P340</w:t>
      </w:r>
      <w:r>
        <w:t xml:space="preserve"> </w:t>
      </w:r>
      <w:r>
        <w:t xml:space="preserve">EN CAS D’INHALATION:</w:t>
      </w:r>
    </w:p>
    <w:p>
      <w:pPr>
        <w:numPr>
          <w:ilvl w:val="0"/>
          <w:numId w:val="1005"/>
        </w:numPr>
      </w:pPr>
      <w:r>
        <w:t xml:space="preserve">P311</w:t>
      </w:r>
      <w:r>
        <w:t xml:space="preserve"> </w:t>
      </w:r>
      <w:r>
        <w:t xml:space="preserve">EN CAS d’exposition ou de malaise: appeler un CENTRE ANTIPOISON ou un médecin.</w:t>
      </w:r>
    </w:p>
    <w:p>
      <w:pPr>
        <w:pStyle w:val="FirstParagraph"/>
      </w:pPr>
      <w:r>
        <w:rPr>
          <w:b/>
          <w:bCs/>
        </w:rPr>
        <w:t xml:space="preserve">Transport</w:t>
      </w:r>
      <w:r>
        <w:t xml:space="preserve"> </w:t>
      </w:r>
      <w:r>
        <w:t xml:space="preserve">:</w:t>
      </w:r>
    </w:p>
    <w:p>
      <w:pPr>
        <w:pStyle w:val="Compact"/>
        <w:numPr>
          <w:ilvl w:val="0"/>
          <w:numId w:val="1006"/>
        </w:numPr>
      </w:pPr>
      <w:r>
        <w:t xml:space="preserve">ADR : Classe 3</w:t>
      </w:r>
    </w:p>
    <w:p>
      <w:pPr>
        <w:pStyle w:val="Compact"/>
        <w:numPr>
          <w:ilvl w:val="0"/>
          <w:numId w:val="1006"/>
        </w:numPr>
      </w:pPr>
      <w:r>
        <w:t xml:space="preserve">RID : Classe 3</w:t>
      </w:r>
    </w:p>
    <w:p>
      <w:pPr>
        <w:pStyle w:val="Compact"/>
        <w:numPr>
          <w:ilvl w:val="0"/>
          <w:numId w:val="1006"/>
        </w:numPr>
      </w:pPr>
      <w:r>
        <w:t xml:space="preserve">ADN : pas disponible</w:t>
      </w:r>
    </w:p>
    <w:p>
      <w:pPr>
        <w:pStyle w:val="Compact"/>
        <w:numPr>
          <w:ilvl w:val="0"/>
          <w:numId w:val="1006"/>
        </w:numPr>
      </w:pPr>
      <w:r>
        <w:t xml:space="preserve">IMDG : Classe 3</w:t>
      </w:r>
    </w:p>
    <w:p>
      <w:pPr>
        <w:pStyle w:val="Compact"/>
        <w:numPr>
          <w:ilvl w:val="0"/>
          <w:numId w:val="1006"/>
        </w:numPr>
      </w:pPr>
      <w:r>
        <w:t xml:space="preserve">IATA : Classe 3</w:t>
      </w:r>
    </w:p>
    <w:p>
      <w:pPr>
        <w:pStyle w:val="Compact"/>
        <w:numPr>
          <w:ilvl w:val="0"/>
          <w:numId w:val="1006"/>
        </w:numPr>
      </w:pPr>
      <w:r>
        <w:t xml:space="preserve">UN : UN 1171</w:t>
      </w:r>
    </w:p>
    <w:bookmarkEnd w:id="39"/>
    <w:bookmarkStart w:id="40" w:name="Xda6f178de632779b007ca26fa4959a763d2c7f4"/>
    <w:p>
      <w:pPr>
        <w:pStyle w:val="Heading2"/>
      </w:pPr>
      <w:r>
        <w:t xml:space="preserve">Dangers et/ou mesures par voie d’exposition</w:t>
      </w:r>
    </w:p>
    <w:p>
      <w:pPr>
        <w:pStyle w:val="FirstParagraph"/>
      </w:pPr>
      <w:r>
        <w:t xml:space="preserve">skin : • Rincer immédiatement et abondamment à l’eau pendant au moins 15 minutes.</w:t>
      </w:r>
      <w:r>
        <w:t xml:space="preserve"> </w:t>
      </w:r>
      <w:r>
        <w:t xml:space="preserve">• Consulter immédiatemment un médecin.</w:t>
      </w:r>
    </w:p>
    <w:p>
      <w:pPr>
        <w:pStyle w:val="BodyText"/>
      </w:pPr>
      <w:r>
        <w:t xml:space="preserve">eyes : • Rincer immédiatement et abondamment à l’eau, y compris sous les paupières, pendant au moins 15 minutes.</w:t>
      </w:r>
      <w:r>
        <w:t xml:space="preserve"> </w:t>
      </w:r>
      <w:r>
        <w:t xml:space="preserve">• Consulter immédiatement un médecin.</w:t>
      </w:r>
    </w:p>
    <w:p>
      <w:pPr>
        <w:pStyle w:val="BodyText"/>
      </w:pPr>
      <w:r>
        <w:t xml:space="preserve">ingestion : • NE PAS faire vomir.</w:t>
      </w:r>
      <w:r>
        <w:t xml:space="preserve"> </w:t>
      </w:r>
      <w:r>
        <w:t xml:space="preserve">• Consulter immédiatement un médecin ou un centre antipoison.</w:t>
      </w:r>
    </w:p>
    <w:p>
      <w:pPr>
        <w:pStyle w:val="BodyText"/>
      </w:pPr>
      <w:r>
        <w:t xml:space="preserve">inhalation : • Transporter la victime à l’air frais.</w:t>
      </w:r>
      <w:r>
        <w:t xml:space="preserve"> </w:t>
      </w:r>
      <w:r>
        <w:t xml:space="preserve">• En l’absence de respiration, pratiquer la respiration artificielle.</w:t>
      </w:r>
      <w:r>
        <w:t xml:space="preserve"> </w:t>
      </w:r>
      <w:r>
        <w:t xml:space="preserve">• Ne pas pratiquer la bouche‑à‑bouche si la substance a été inhalée ; utiliser un masque raccordé à un insufflateur manuel muni d’une valve anti‑retour, ou tout autre dispositif médical respiratoire approprié.</w:t>
      </w:r>
      <w:r>
        <w:t xml:space="preserve"> </w:t>
      </w:r>
      <w:r>
        <w:t xml:space="preserve">• Consulter immédiatement un médecin.</w:t>
      </w:r>
    </w:p>
    <w:p>
      <w:r>
        <w:br w:type="page"/>
      </w:r>
    </w:p>
    <w:bookmarkEnd w:id="40"/>
    <w:bookmarkStart w:id="52" w:name="Xd3fd47f9279b52cc9d4b00e07bdfde0bea6594f"/>
    <w:p>
      <w:pPr>
        <w:pStyle w:val="Heading2"/>
      </w:pPr>
      <w:r>
        <w:t xml:space="preserve">Informations relatives aux substances dangereuses présentes</w:t>
      </w:r>
    </w:p>
    <w:bookmarkStart w:id="51" w:name="ether-monoéthylique-de-léthylèneglycol"/>
    <w:p>
      <w:pPr>
        <w:pStyle w:val="Heading3"/>
      </w:pPr>
      <w:r>
        <w:t xml:space="preserve">Ether monoéthylique de l’éthylèneglycol</w:t>
      </w:r>
    </w:p>
    <w:p>
      <w:pPr>
        <w:pStyle w:val="FirstParagraph"/>
      </w:pPr>
      <w:r>
        <w:rPr>
          <w:b/>
          <w:bCs/>
        </w:rPr>
        <w:t xml:space="preserve">Identification</w:t>
      </w:r>
    </w:p>
    <w:p>
      <w:pPr>
        <w:pStyle w:val="Compact"/>
        <w:numPr>
          <w:ilvl w:val="0"/>
          <w:numId w:val="1007"/>
        </w:numPr>
      </w:pPr>
      <w:r>
        <w:t xml:space="preserve">N° CAS : 110-80-5</w:t>
      </w:r>
    </w:p>
    <w:p>
      <w:pPr>
        <w:pStyle w:val="Compact"/>
        <w:numPr>
          <w:ilvl w:val="0"/>
          <w:numId w:val="1007"/>
        </w:numPr>
      </w:pPr>
      <w:r>
        <w:t xml:space="preserve">N° EINECS : 203-804-1</w:t>
      </w:r>
    </w:p>
    <w:p>
      <w:pPr>
        <w:pStyle w:val="FirstParagraph"/>
      </w:pPr>
      <w:r>
        <w:rPr>
          <w:b/>
          <w:bCs/>
        </w:rPr>
        <w:t xml:space="preserve">Concentration</w:t>
      </w:r>
      <w:r>
        <w:t xml:space="preserve"> </w:t>
      </w:r>
      <w:r>
        <w:t xml:space="preserve">:greater or equal to 95.0</w:t>
      </w:r>
    </w:p>
    <w:p>
      <w:pPr>
        <w:pStyle w:val="BodyText"/>
      </w:pPr>
      <w:r>
        <w:rPr>
          <w:b/>
          <w:bCs/>
        </w:rPr>
        <w:t xml:space="preserve">Dangers</w:t>
      </w:r>
      <w:r>
        <w:t xml:space="preserve"> </w:t>
      </w:r>
      <w:r>
        <w:t xml:space="preserve">:</w:t>
      </w:r>
    </w:p>
    <w:p>
      <w:pPr>
        <w:numPr>
          <w:ilvl w:val="0"/>
          <w:numId w:val="1008"/>
        </w:numPr>
      </w:pPr>
      <w:r>
        <w:t xml:space="preserve">H226</w:t>
      </w:r>
      <w:r>
        <w:t xml:space="preserve"> </w:t>
      </w:r>
      <w:r>
        <w:t xml:space="preserve">Liquide et vapeurs inflammables.</w:t>
      </w:r>
    </w:p>
    <w:p>
      <w:pPr>
        <w:numPr>
          <w:ilvl w:val="0"/>
          <w:numId w:val="1008"/>
        </w:numPr>
      </w:pPr>
      <w:r>
        <w:t xml:space="preserve">H302</w:t>
      </w:r>
      <w:r>
        <w:t xml:space="preserve"> </w:t>
      </w:r>
      <w:r>
        <w:t xml:space="preserve">Nocif en cas d’ingestion.</w:t>
      </w:r>
    </w:p>
    <w:p>
      <w:pPr>
        <w:numPr>
          <w:ilvl w:val="0"/>
          <w:numId w:val="1008"/>
        </w:numPr>
      </w:pPr>
      <w:r>
        <w:t xml:space="preserve">H331</w:t>
      </w:r>
      <w:r>
        <w:t xml:space="preserve"> </w:t>
      </w:r>
      <w:r>
        <w:t xml:space="preserve">Toxique par inhalation.</w:t>
      </w:r>
    </w:p>
    <w:p>
      <w:pPr>
        <w:numPr>
          <w:ilvl w:val="0"/>
          <w:numId w:val="1008"/>
        </w:numPr>
      </w:pPr>
      <w:r>
        <w:t xml:space="preserve">H360FD</w:t>
      </w:r>
      <w:r>
        <w:t xml:space="preserve"> </w:t>
      </w:r>
      <w:r>
        <w:t xml:space="preserve">Peut nuire à la fertilité ou au fœtus.</w:t>
      </w:r>
    </w:p>
    <w:p>
      <w:pPr>
        <w:pStyle w:val="FirstParagraph"/>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Oui</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Oui</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VLE-8h (ppm) : 2.0 - VLE-8h (mg/m³) : 8.0</w:t>
            </w:r>
          </w:p>
        </w:tc>
      </w:tr>
    </w:tbl>
    <w:bookmarkStart w:id="50" w:name="propriétés"/>
    <w:p>
      <w:pPr>
        <w:pStyle w:val="Heading4"/>
      </w:pPr>
      <w:r>
        <w:t xml:space="preserve">Propriétés</w:t>
      </w:r>
    </w:p>
    <w:p>
      <w:pPr>
        <w:pStyle w:val="FirstParagraph"/>
      </w:pPr>
      <w:hyperlink r:id="rId41">
        <w:r>
          <w:rPr>
            <w:rStyle w:val="Hyperlink"/>
            <w:color w:val="0856A0"/>
            <w:u w:val="single"/>
          </w:rPr>
          <w:t xml:space="preserve">FICHEMai 2025Fiche n°58 - 2-ÉthoxyéthanolFiche présentant l’essentiel des données d’hygiène et de sécurité relatives à« 2-Éthoxyéthanol »avec un rappel de la réglementation française et des recommandations techniques et médicales.En savoir plus</w:t>
        </w:r>
      </w:hyperlink>
    </w:p>
    <w:p>
      <w:pPr>
        <w:numPr>
          <w:ilvl w:val="0"/>
          <w:numId w:val="1009"/>
        </w:numPr>
      </w:pPr>
      <w:hyperlink r:id="rId42">
        <w:r>
          <w:rPr>
            <w:rStyle w:val="Hyperlink"/>
            <w:color w:val="0856A0"/>
            <w:u w:val="single"/>
          </w:rPr>
          <w:t xml:space="preserve">Généralités</w:t>
        </w:r>
      </w:hyperlink>
    </w:p>
    <w:p>
      <w:pPr>
        <w:numPr>
          <w:ilvl w:val="0"/>
          <w:numId w:val="1009"/>
        </w:numPr>
      </w:pPr>
      <w:hyperlink r:id="rId43">
        <w:r>
          <w:rPr>
            <w:rStyle w:val="Hyperlink"/>
            <w:color w:val="0856A0"/>
            <w:u w:val="single"/>
          </w:rPr>
          <w:t xml:space="preserve">Caractéristiques</w:t>
        </w:r>
      </w:hyperlink>
    </w:p>
    <w:p>
      <w:pPr>
        <w:numPr>
          <w:ilvl w:val="0"/>
          <w:numId w:val="1009"/>
        </w:numPr>
      </w:pPr>
      <w:hyperlink r:id="rId44">
        <w:r>
          <w:rPr>
            <w:rStyle w:val="Hyperlink"/>
            <w:color w:val="0856A0"/>
            <w:u w:val="single"/>
          </w:rPr>
          <w:t xml:space="preserve">VLEPMesurage</w:t>
        </w:r>
      </w:hyperlink>
    </w:p>
    <w:p>
      <w:pPr>
        <w:numPr>
          <w:ilvl w:val="0"/>
          <w:numId w:val="1009"/>
        </w:numPr>
      </w:pPr>
      <w:hyperlink r:id="rId45">
        <w:r>
          <w:rPr>
            <w:rStyle w:val="Hyperlink"/>
            <w:color w:val="0856A0"/>
            <w:u w:val="single"/>
          </w:rPr>
          <w:t xml:space="preserve">Incendie - Explosion[14-16]</w:t>
        </w:r>
      </w:hyperlink>
    </w:p>
    <w:p>
      <w:pPr>
        <w:numPr>
          <w:ilvl w:val="0"/>
          <w:numId w:val="1009"/>
        </w:numPr>
      </w:pPr>
      <w:hyperlink r:id="rId46">
        <w:r>
          <w:rPr>
            <w:rStyle w:val="Hyperlink"/>
            <w:color w:val="0856A0"/>
            <w:u w:val="single"/>
          </w:rPr>
          <w:t xml:space="preserve">Pathologie - Toxicologie</w:t>
        </w:r>
      </w:hyperlink>
    </w:p>
    <w:p>
      <w:pPr>
        <w:numPr>
          <w:ilvl w:val="0"/>
          <w:numId w:val="1009"/>
        </w:numPr>
      </w:pPr>
      <w:hyperlink r:id="rId47">
        <w:r>
          <w:rPr>
            <w:rStyle w:val="Hyperlink"/>
            <w:color w:val="0856A0"/>
            <w:u w:val="single"/>
          </w:rPr>
          <w:t xml:space="preserve">Règlementation</w:t>
        </w:r>
      </w:hyperlink>
    </w:p>
    <w:p>
      <w:pPr>
        <w:numPr>
          <w:ilvl w:val="0"/>
          <w:numId w:val="1009"/>
        </w:numPr>
      </w:pPr>
      <w:hyperlink r:id="rId48">
        <w:r>
          <w:rPr>
            <w:rStyle w:val="Hyperlink"/>
            <w:color w:val="0856A0"/>
            <w:u w:val="single"/>
          </w:rPr>
          <w:t xml:space="preserve">Recommandations</w:t>
        </w:r>
      </w:hyperlink>
    </w:p>
    <w:p>
      <w:pPr>
        <w:numPr>
          <w:ilvl w:val="0"/>
          <w:numId w:val="1009"/>
        </w:numPr>
      </w:pPr>
      <w:hyperlink r:id="rId49">
        <w:r>
          <w:rPr>
            <w:rStyle w:val="Hyperlink"/>
            <w:color w:val="0856A0"/>
            <w:u w:val="single"/>
          </w:rPr>
          <w:t xml:space="preserve">Bibliographie</w:t>
        </w:r>
      </w:hyperlink>
    </w:p>
    <w:bookmarkEnd w:id="50"/>
    <w:bookmarkEnd w:id="51"/>
    <w:bookmarkEnd w:id="52"/>
    <w:bookmarkStart w:id="53" w:name="X45ad37046213581a41a58cd8a8dba04c2f3aa9c"/>
    <w:p>
      <w:pPr>
        <w:pStyle w:val="Heading2"/>
      </w:pPr>
      <w:r>
        <w:t xml:space="preserve">Protections individuelles et collectives à envisager</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202"/>
        <w:gridCol w:w="3717"/>
      </w:tblGrid>
      <w:tr>
        <w:trPr>
          <w:tblHeader w:val="on"/>
        </w:trPr>
        <w:tc>
          <w:tcPr/>
          <w:p>
            <w:pPr>
              <w:pStyle w:val="Compact"/>
              <w:rPr>
                <w:sz w:val="20"/>
                <w:szCs w:val="20"/>
              </w:rPr>
            </w:pPr>
            <w:r>
              <w:rPr>
                <w:sz w:val="20"/>
                <w:szCs w:val="20"/>
              </w:rPr>
              <w:t xml:space="preserve">Zones à protéger</w:t>
            </w:r>
          </w:p>
        </w:tc>
        <w:tc>
          <w:tcPr/>
          <w:p>
            <w:pPr>
              <w:pStyle w:val="Compact"/>
              <w:rPr>
                <w:sz w:val="20"/>
                <w:szCs w:val="20"/>
              </w:rPr>
            </w:pPr>
            <w:r>
              <w:rPr>
                <w:sz w:val="20"/>
                <w:szCs w:val="20"/>
              </w:rPr>
              <w:t xml:space="preserve">Mesures à envisager</w:t>
            </w:r>
          </w:p>
        </w:tc>
      </w:tr>
      <w:tr>
        <w:tc>
          <w:tcPr/>
          <w:p>
            <w:pPr>
              <w:pStyle w:val="Compact"/>
              <w:rPr>
                <w:sz w:val="20"/>
                <w:szCs w:val="20"/>
              </w:rPr>
            </w:pPr>
            <w:r>
              <w:rPr>
                <w:sz w:val="20"/>
                <w:szCs w:val="20"/>
              </w:rPr>
              <w:t xml:space="preserve">Mains</w:t>
            </w:r>
          </w:p>
        </w:tc>
        <w:tc>
          <w:tcPr/>
          <w:p>
            <w:pPr>
              <w:pStyle w:val="Compact"/>
              <w:rPr>
                <w:sz w:val="20"/>
                <w:szCs w:val="20"/>
              </w:rPr>
            </w:pPr>
            <w:r>
              <w:rPr>
                <w:sz w:val="20"/>
                <w:szCs w:val="20"/>
              </w:rPr>
              <w:t xml:space="preserve">Gants de protection • Matériaux : – Caoutchouc naturel – Caoutchouc nitrile – Néoprène – PVC • Norme européenne : EN 374 (exigence minimale) • Épaisseur : non précisée dans le document (voir recommandations du fabricant) • Temps de passage : non précisé (voir recommandations du fabricant)</w:t>
            </w:r>
          </w:p>
        </w:tc>
      </w:tr>
      <w:tr>
        <w:tc>
          <w:tcPr/>
          <w:p>
            <w:pPr>
              <w:pStyle w:val="Compact"/>
              <w:rPr>
                <w:sz w:val="20"/>
                <w:szCs w:val="20"/>
              </w:rPr>
            </w:pPr>
            <w:r>
              <w:rPr>
                <w:sz w:val="20"/>
                <w:szCs w:val="20"/>
              </w:rPr>
              <w:t xml:space="preserve">Yeux</w:t>
            </w:r>
          </w:p>
        </w:tc>
        <w:tc>
          <w:tcPr/>
          <w:p>
            <w:pPr>
              <w:pStyle w:val="Compact"/>
              <w:rPr>
                <w:sz w:val="20"/>
                <w:szCs w:val="20"/>
              </w:rPr>
            </w:pPr>
            <w:r>
              <w:rPr>
                <w:sz w:val="20"/>
                <w:szCs w:val="20"/>
              </w:rPr>
              <w:t xml:space="preserve">Protection des yeux • Lunettes de protection : conforme à la norme européenne EN 166</w:t>
            </w:r>
          </w:p>
        </w:tc>
      </w:tr>
      <w:tr>
        <w:tc>
          <w:tcPr/>
          <w:p>
            <w:pPr>
              <w:pStyle w:val="Compact"/>
              <w:rPr>
                <w:sz w:val="20"/>
                <w:szCs w:val="20"/>
              </w:rPr>
            </w:pPr>
            <w:r>
              <w:rPr>
                <w:sz w:val="20"/>
                <w:szCs w:val="20"/>
              </w:rPr>
              <w:t xml:space="preserve">Peau</w:t>
            </w:r>
          </w:p>
        </w:tc>
        <w:tc>
          <w:tcPr/>
          <w:p>
            <w:pPr>
              <w:pStyle w:val="Compact"/>
              <w:rPr>
                <w:sz w:val="20"/>
                <w:szCs w:val="20"/>
              </w:rPr>
            </w:pPr>
            <w:r>
              <w:rPr>
                <w:sz w:val="20"/>
                <w:szCs w:val="20"/>
              </w:rPr>
              <w:t xml:space="preserve">Gants de protection • Matériaux : – Caoutchouc naturel – Caoutchouc nitrile – Néoprène – PVC • Norme européenne : EN 374 (exigence minimale) • Épaisseur : non précisée dans le document (voir recommandations du fabricant) • Temps de passage : non précisé (voir recommandations du fabricant) • Commentaires : – Vérifier l’adhérence et la compatibilité chimique avant utilisation – Inspecter les gants avant chaque utilisation – Enlever les gants avec soin pour éviter la contamination cutanée</w:t>
            </w:r>
          </w:p>
        </w:tc>
      </w:tr>
      <w:tr>
        <w:tc>
          <w:tcPr/>
          <w:p>
            <w:pPr>
              <w:pStyle w:val="Compact"/>
              <w:rPr>
                <w:sz w:val="20"/>
                <w:szCs w:val="20"/>
              </w:rPr>
            </w:pPr>
            <w:r>
              <w:rPr>
                <w:sz w:val="20"/>
                <w:szCs w:val="20"/>
              </w:rPr>
              <w:t xml:space="preserve">Système respiratoire</w:t>
            </w:r>
          </w:p>
        </w:tc>
        <w:tc>
          <w:tcPr/>
          <w:p>
            <w:pPr>
              <w:pStyle w:val="Compact"/>
              <w:rPr>
                <w:sz w:val="20"/>
                <w:szCs w:val="20"/>
              </w:rPr>
            </w:pPr>
            <w:r>
              <w:rPr>
                <w:sz w:val="20"/>
                <w:szCs w:val="20"/>
              </w:rPr>
              <w:t xml:space="preserve">Protection respiratoire • Utilisation : En cas de concentrations supérieures aux limites d’exposition, les travailleurs doivent utiliser des respirateurs homologués correspondants. • Équipement : – À grande échelle / utilisation d’urgence :  • Respirateur NIOSH / MSHA ou norme européenne EN 136 approuvé  • Type de filtre recommandé : Gaz et vapeurs organiques, filtre Type A Marron conforme à EN 14387 – À petite échelle / utilisation en laboratoire :  • Respirateur NIOSH / MSHA ou norme européenne EN 149:2001 approuvé  • Demi‑masque recommandé :   • Valve filtrage : EN 405   • Ou    – Demi‑masque : EN 140    – Filtre : FR 141</w:t>
            </w:r>
          </w:p>
        </w:tc>
      </w:tr>
      <w:tr>
        <w:tc>
          <w:tcPr/>
          <w:p>
            <w:pPr>
              <w:pStyle w:val="Compact"/>
              <w:rPr>
                <w:sz w:val="20"/>
                <w:szCs w:val="20"/>
              </w:rPr>
            </w:pPr>
            <w:r>
              <w:rPr>
                <w:sz w:val="20"/>
                <w:szCs w:val="20"/>
              </w:rPr>
              <w:t xml:space="preserve">Corps</w:t>
            </w:r>
          </w:p>
        </w:tc>
        <w:tc>
          <w:tcPr/>
          <w:p>
            <w:pPr>
              <w:pStyle w:val="Compact"/>
              <w:rPr>
                <w:sz w:val="20"/>
                <w:szCs w:val="20"/>
              </w:rPr>
            </w:pPr>
            <w:r>
              <w:rPr>
                <w:sz w:val="20"/>
                <w:szCs w:val="20"/>
              </w:rPr>
              <w:t xml:space="preserve">Vêtements de protection / combinaisons • Protection de la peau et du corps : Vêtements à manches longues. • Matériau : non précisé dans le document (à choisir en fonction de la compatibilité chimique)</w:t>
            </w:r>
          </w:p>
        </w:tc>
      </w:tr>
    </w:tbl>
    <w:bookmarkEnd w:id="53"/>
    <w:bookmarkStart w:id="54" w:name="Xc141b1b6429233fc1a5306592e7c0023f190cfe"/>
    <w:p>
      <w:pPr>
        <w:pStyle w:val="Heading2"/>
      </w:pPr>
      <w:r>
        <w:t xml:space="preserve">Conditions de stockage et de manipulation à envisager</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009"/>
        <w:gridCol w:w="4910"/>
      </w:tblGrid>
      <w:tr>
        <w:trPr>
          <w:tblHeader w:val="on"/>
        </w:trPr>
        <w:tc>
          <w:tcPr/>
          <w:p>
            <w:pPr>
              <w:pStyle w:val="Compact"/>
              <w:rPr>
                <w:sz w:val="20"/>
                <w:szCs w:val="20"/>
              </w:rPr>
            </w:pPr>
            <w:r>
              <w:rPr>
                <w:sz w:val="20"/>
                <w:szCs w:val="20"/>
              </w:rPr>
              <w:t xml:space="preserve">Zones à protéger</w:t>
            </w:r>
          </w:p>
        </w:tc>
        <w:tc>
          <w:tcPr/>
          <w:p>
            <w:pPr>
              <w:pStyle w:val="Compact"/>
              <w:rPr>
                <w:sz w:val="20"/>
                <w:szCs w:val="20"/>
              </w:rPr>
            </w:pPr>
            <w:r>
              <w:rPr>
                <w:sz w:val="20"/>
                <w:szCs w:val="20"/>
              </w:rPr>
              <w:t xml:space="preserve">Mesures à envisager</w:t>
            </w:r>
          </w:p>
        </w:tc>
      </w:tr>
      <w:tr>
        <w:tc>
          <w:tcPr/>
          <w:p>
            <w:pPr>
              <w:pStyle w:val="Compact"/>
              <w:rPr>
                <w:sz w:val="20"/>
                <w:szCs w:val="20"/>
              </w:rPr>
            </w:pPr>
            <w:r>
              <w:rPr>
                <w:sz w:val="20"/>
                <w:szCs w:val="20"/>
              </w:rPr>
              <w:t xml:space="preserve">Précautions à prendre pour une manipulation sans danger</w:t>
            </w:r>
          </w:p>
        </w:tc>
        <w:tc>
          <w:tcPr/>
          <w:p>
            <w:pPr>
              <w:pStyle w:val="Compact"/>
              <w:rPr>
                <w:sz w:val="20"/>
                <w:szCs w:val="20"/>
              </w:rPr>
            </w:pPr>
            <w:r>
              <w:rPr>
                <w:sz w:val="20"/>
                <w:szCs w:val="20"/>
              </w:rPr>
              <w:t xml:space="preserve">Précautions à prendre pour une manipulation sans danger : Porter un équipement de protection individuelle/un équipement de protection du visage. Éviter tout contact avec les yeux, la peau ou les vêtements. Utiliser seulement sous une hotte contre les vapeurs de produits chimiques. Ne pas respirer les brouillards/vapeurs/aérosols. Ne pas avaler. En cas d’ingestion, consulter immédiatement un médecin. Tenir à l’écart des flammes nues, des surfaces chaudes et des sources d’ignition. Ne pas utiliser d’outils produisant des étincelles. Éviter l’accumulation de charges électrostatiques. Manipuler conformément aux bonnes pratiques industrielles d’hygiène et de sécurité.</w:t>
            </w:r>
          </w:p>
        </w:tc>
      </w:tr>
      <w:tr>
        <w:tc>
          <w:tcPr/>
          <w:p>
            <w:pPr>
              <w:pStyle w:val="Compact"/>
              <w:rPr>
                <w:sz w:val="20"/>
                <w:szCs w:val="20"/>
              </w:rPr>
            </w:pPr>
            <w:r>
              <w:rPr>
                <w:sz w:val="20"/>
                <w:szCs w:val="20"/>
              </w:rPr>
              <w:t xml:space="preserve">Conditions d’un stockage sûr, y compris d’éventuelles incompatibilités</w:t>
            </w:r>
          </w:p>
        </w:tc>
        <w:tc>
          <w:tcPr/>
          <w:p>
            <w:pPr>
              <w:pStyle w:val="Compact"/>
              <w:rPr>
                <w:sz w:val="20"/>
                <w:szCs w:val="20"/>
              </w:rPr>
            </w:pPr>
            <w:r>
              <w:rPr>
                <w:sz w:val="20"/>
                <w:szCs w:val="20"/>
              </w:rPr>
              <w:t xml:space="preserve">Conditions de stockage sûr (et incompatibilités éventuelles) Conserver les récipients bien fermés, au sec et dans un endroit frais et bien ventilé. Tenir à l’écart de la chaleur, des étincelles et des flammes. Stocker dans une zone contenant des substances inflammables. Le produit peut former des peroxydes explosifs ; en cas de formation de cristaux dans un liquide peroxydable, la peroxydation peut s’être produite et le produit doit être considéré comme extrêmement dangereux ; dans ce cas, le conteneur doit être ouvert à distance par des professionnels. Incompatibilités Agents comburants forts Acides forts Bases fortes Métaux (réactifs)</w:t>
            </w:r>
          </w:p>
        </w:tc>
      </w:tr>
      <w:tr>
        <w:tc>
          <w:tcPr/>
          <w:p>
            <w:pPr>
              <w:pStyle w:val="Compact"/>
              <w:rPr>
                <w:sz w:val="20"/>
                <w:szCs w:val="20"/>
              </w:rPr>
            </w:pPr>
            <w:r>
              <w:rPr>
                <w:sz w:val="20"/>
                <w:szCs w:val="20"/>
              </w:rPr>
              <w:t xml:space="preserve">Utilisation(s) finale(s) particulière(s)</w:t>
            </w:r>
          </w:p>
        </w:tc>
        <w:tc>
          <w:tcPr/>
          <w:p>
            <w:pPr>
              <w:pStyle w:val="Compact"/>
              <w:rPr>
                <w:sz w:val="20"/>
                <w:szCs w:val="20"/>
              </w:rPr>
            </w:pPr>
            <w:r>
              <w:rPr>
                <w:sz w:val="20"/>
                <w:szCs w:val="20"/>
              </w:rPr>
              <w:t xml:space="preserve">Utilisation recommandée : substances chimiques de laboratoire.</w:t>
            </w:r>
          </w:p>
        </w:tc>
      </w:tr>
    </w:tbl>
    <w:bookmarkEnd w:id="54"/>
    <w:bookmarkEnd w:id="55"/>
    <w:sectPr w:rsidR="00E0006B">
      <w:pgSz w:h="15840" w:w="12240"/>
      <w:pgMar w:bottom="1440" w:footer="720" w:gutter="0" w:header="720" w:left="1440" w:right="1440" w:top="1440"/>
      <w:cols w:space="720"/>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Headings CS)">
    <w:altName w:val="Times New Roman"/>
    <w:panose1 w:val="020B0604020202020204"/>
    <w:charset w:val="00"/>
    <w:family w:val="roman"/>
    <w:pitch w:val="default"/>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1B169FA4"/>
    <w:lvl w:ilvl="0">
      <w:numFmt w:val="bullet"/>
      <w:lvlText w:val=" "/>
      <w:lvlJc w:val="left"/>
      <w:pPr>
        <w:ind w:hanging="360" w:left="720"/>
      </w:pPr>
    </w:lvl>
    <w:lvl w:ilvl="1">
      <w:numFmt w:val="bullet"/>
      <w:lvlText w:val=" "/>
      <w:lvlJc w:val="left"/>
      <w:pPr>
        <w:ind w:hanging="360" w:left="1440"/>
      </w:pPr>
    </w:lvl>
    <w:lvl w:ilvl="2">
      <w:numFmt w:val="bullet"/>
      <w:lvlText w:val=" "/>
      <w:lvlJc w:val="left"/>
      <w:pPr>
        <w:ind w:hanging="360" w:left="2160"/>
      </w:pPr>
    </w:lvl>
    <w:lvl w:ilvl="3">
      <w:numFmt w:val="bullet"/>
      <w:lvlText w:val=" "/>
      <w:lvlJc w:val="left"/>
      <w:pPr>
        <w:ind w:hanging="360" w:left="2880"/>
      </w:pPr>
    </w:lvl>
    <w:lvl w:ilvl="4">
      <w:numFmt w:val="bullet"/>
      <w:lvlText w:val=" "/>
      <w:lvlJc w:val="left"/>
      <w:pPr>
        <w:ind w:hanging="360" w:left="3600"/>
      </w:pPr>
    </w:lvl>
    <w:lvl w:ilvl="5">
      <w:numFmt w:val="bullet"/>
      <w:lvlText w:val=" "/>
      <w:lvlJc w:val="left"/>
      <w:pPr>
        <w:ind w:hanging="360" w:left="4320"/>
      </w:pPr>
    </w:lvl>
    <w:lvl w:ilvl="6">
      <w:numFmt w:val="bullet"/>
      <w:lvlText w:val=" "/>
      <w:lvlJc w:val="left"/>
      <w:pPr>
        <w:ind w:hanging="360" w:left="5040"/>
      </w:pPr>
    </w:lvl>
    <w:lvl w:ilvl="7">
      <w:numFmt w:val="bullet"/>
      <w:lvlText w:val=" "/>
      <w:lvlJc w:val="left"/>
      <w:pPr>
        <w:ind w:hanging="360" w:left="5760"/>
      </w:pPr>
    </w:lvl>
    <w:lvl w:ilvl="8">
      <w:numFmt w:val="bullet"/>
      <w:lvlText w:val=" "/>
      <w:lvlJc w:val="left"/>
      <w:pPr>
        <w:ind w:hanging="360" w:left="6480"/>
      </w:pPr>
    </w:lvl>
  </w:abstractNum>
  <w:abstractNum w15:restartNumberingAfterBreak="0" w:abstractNumId="1">
    <w:nsid w:val="0000A991"/>
    <w:multiLevelType w:val="multilevel"/>
    <w:tmpl w:val="1892DF90"/>
    <w:lvl w:ilvl="0">
      <w:numFmt w:val="bullet"/>
      <w:lvlText w:val=""/>
      <w:lvlJc w:val="left"/>
      <w:pPr>
        <w:ind w:hanging="360" w:left="720"/>
      </w:pPr>
      <w:rPr>
        <w:rFonts w:ascii="Symbol" w:cs="Symbol" w:hAnsi="Symbol" w:hint="default"/>
      </w:rPr>
    </w:lvl>
    <w:lvl w:ilvl="1">
      <w:numFmt w:val="bullet"/>
      <w:lvlText w:val="o"/>
      <w:lvlJc w:val="left"/>
      <w:pPr>
        <w:ind w:hanging="360" w:left="1440"/>
      </w:pPr>
      <w:rPr>
        <w:rFonts w:ascii="Courier New" w:cs="Courier New" w:hAnsi="Courier New" w:hint="default"/>
      </w:rPr>
    </w:lvl>
    <w:lvl w:ilvl="2">
      <w:numFmt w:val="bullet"/>
      <w:lvlText w:val=""/>
      <w:lvlJc w:val="left"/>
      <w:pPr>
        <w:ind w:hanging="360" w:left="2160"/>
      </w:pPr>
      <w:rPr>
        <w:rFonts w:ascii="Wingdings" w:cs="Wingdings" w:hAnsi="Wingdings" w:hint="default"/>
      </w:rPr>
    </w:lvl>
    <w:lvl w:ilvl="3">
      <w:numFmt w:val="bullet"/>
      <w:lvlText w:val=""/>
      <w:lvlJc w:val="left"/>
      <w:pPr>
        <w:ind w:hanging="360" w:left="2880"/>
      </w:pPr>
      <w:rPr>
        <w:rFonts w:ascii="Symbol" w:cs="Symbol" w:hAnsi="Symbol" w:hint="default"/>
      </w:rPr>
    </w:lvl>
    <w:lvl w:ilvl="4">
      <w:numFmt w:val="bullet"/>
      <w:lvlText w:val="o"/>
      <w:lvlJc w:val="left"/>
      <w:pPr>
        <w:ind w:hanging="360" w:left="3600"/>
      </w:pPr>
      <w:rPr>
        <w:rFonts w:ascii="Courier New" w:cs="Courier New" w:hAnsi="Courier New" w:hint="default"/>
      </w:rPr>
    </w:lvl>
    <w:lvl w:ilvl="5">
      <w:numFmt w:val="bullet"/>
      <w:lvlText w:val=""/>
      <w:lvlJc w:val="left"/>
      <w:pPr>
        <w:ind w:hanging="360" w:left="4320"/>
      </w:pPr>
      <w:rPr>
        <w:rFonts w:ascii="Wingdings" w:cs="Wingdings" w:hAnsi="Wingdings" w:hint="default"/>
      </w:rPr>
    </w:lvl>
    <w:lvl w:ilvl="6">
      <w:numFmt w:val="bullet"/>
      <w:lvlText w:val=""/>
      <w:lvlJc w:val="left"/>
      <w:pPr>
        <w:ind w:hanging="360" w:left="5040"/>
      </w:pPr>
      <w:rPr>
        <w:rFonts w:ascii="Symbol" w:cs="Symbol" w:hAnsi="Symbol" w:hint="default"/>
      </w:rPr>
    </w:lvl>
    <w:lvl w:ilvl="7">
      <w:numFmt w:val="bullet"/>
      <w:lvlText w:val="o"/>
      <w:lvlJc w:val="left"/>
      <w:pPr>
        <w:ind w:hanging="360" w:left="5760"/>
      </w:pPr>
      <w:rPr>
        <w:rFonts w:ascii="Courier New" w:cs="Courier New" w:hAnsi="Courier New" w:hint="default"/>
      </w:rPr>
    </w:lvl>
    <w:lvl w:ilvl="8">
      <w:numFmt w:val="bullet"/>
      <w:lvlText w:val=""/>
      <w:lvlJc w:val="left"/>
      <w:pPr>
        <w:ind w:hanging="360" w:left="6480"/>
      </w:pPr>
      <w:rPr>
        <w:rFonts w:ascii="Wingdings" w:cs="Wingdings" w:hAnsi="Wingdings" w:hint="default"/>
      </w:rPr>
    </w:lvl>
  </w:abstractNum>
  <w:abstractNum w15:restartNumberingAfterBreak="0" w:abstractNumId="2">
    <w:nsid w:val="04352475"/>
    <w:multiLevelType w:val="multilevel"/>
    <w:tmpl w:val="0B5C3C7C"/>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15:restartNumberingAfterBreak="0" w:abstractNumId="3">
    <w:nsid w:val="27580FEE"/>
    <w:multiLevelType w:val="multilevel"/>
    <w:tmpl w:val="9D544CDC"/>
    <w:styleLink w:val="CurrentList2"/>
    <w:lvl w:ilvl="0">
      <w:start w:val="1"/>
      <w:numFmt w:val="decimal"/>
      <w:isLgl/>
      <w:lvlText w:val="%1."/>
      <w:lvlJc w:val="left"/>
      <w:pPr>
        <w:ind w:hanging="360" w:left="360"/>
      </w:pPr>
      <w:rPr>
        <w:rFonts w:hint="default"/>
      </w:rPr>
    </w:lvl>
    <w:lvl w:ilvl="1">
      <w:start w:val="1"/>
      <w:numFmt w:val="decimal"/>
      <w:lvlText w:val="%1.%2."/>
      <w:lvlJc w:val="left"/>
      <w:pPr>
        <w:ind w:hanging="432" w:left="79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15:restartNumberingAfterBreak="0" w:abstractNumId="4">
    <w:nsid w:val="400A04EB"/>
    <w:multiLevelType w:val="hybridMultilevel"/>
    <w:tmpl w:val="C7FEDEBC"/>
    <w:lvl w:ilvl="0" w:tplc="7876CDB4">
      <w:numFmt w:val="bullet"/>
      <w:lvlText w:val="-"/>
      <w:lvlJc w:val="left"/>
      <w:pPr>
        <w:ind w:hanging="360" w:left="720"/>
      </w:pPr>
      <w:rPr>
        <w:rFonts w:ascii="Calibri Light" w:cstheme="minorBidi" w:eastAsiaTheme="minorHAnsi" w:hAnsi="Calibri Light" w:hint="default"/>
      </w:rPr>
    </w:lvl>
    <w:lvl w:ilvl="1" w:tentative="1" w:tplc="04090003">
      <w:start w:val="1"/>
      <w:numFmt w:val="bullet"/>
      <w:lvlText w:val="o"/>
      <w:lvlJc w:val="left"/>
      <w:pPr>
        <w:ind w:hanging="360" w:left="1440"/>
      </w:pPr>
      <w:rPr>
        <w:rFonts w:ascii="Courier New" w:cs="Courier New" w:hAnsi="Courier New" w:hint="default"/>
      </w:rPr>
    </w:lvl>
    <w:lvl w:ilvl="2" w:tentative="1" w:tplc="04090005">
      <w:start w:val="1"/>
      <w:numFmt w:val="bullet"/>
      <w:lvlText w:val=""/>
      <w:lvlJc w:val="left"/>
      <w:pPr>
        <w:ind w:hanging="360" w:left="2160"/>
      </w:pPr>
      <w:rPr>
        <w:rFonts w:ascii="Wingdings" w:hAnsi="Wingdings" w:hint="default"/>
      </w:rPr>
    </w:lvl>
    <w:lvl w:ilvl="3" w:tentative="1" w:tplc="04090001">
      <w:start w:val="1"/>
      <w:numFmt w:val="bullet"/>
      <w:lvlText w:val=""/>
      <w:lvlJc w:val="left"/>
      <w:pPr>
        <w:ind w:hanging="360" w:left="2880"/>
      </w:pPr>
      <w:rPr>
        <w:rFonts w:ascii="Symbol" w:hAnsi="Symbol" w:hint="default"/>
      </w:rPr>
    </w:lvl>
    <w:lvl w:ilvl="4" w:tentative="1" w:tplc="04090003">
      <w:start w:val="1"/>
      <w:numFmt w:val="bullet"/>
      <w:lvlText w:val="o"/>
      <w:lvlJc w:val="left"/>
      <w:pPr>
        <w:ind w:hanging="360" w:left="3600"/>
      </w:pPr>
      <w:rPr>
        <w:rFonts w:ascii="Courier New" w:cs="Courier New" w:hAnsi="Courier New" w:hint="default"/>
      </w:rPr>
    </w:lvl>
    <w:lvl w:ilvl="5" w:tentative="1" w:tplc="04090005">
      <w:start w:val="1"/>
      <w:numFmt w:val="bullet"/>
      <w:lvlText w:val=""/>
      <w:lvlJc w:val="left"/>
      <w:pPr>
        <w:ind w:hanging="360" w:left="4320"/>
      </w:pPr>
      <w:rPr>
        <w:rFonts w:ascii="Wingdings" w:hAnsi="Wingdings" w:hint="default"/>
      </w:rPr>
    </w:lvl>
    <w:lvl w:ilvl="6" w:tentative="1" w:tplc="04090001">
      <w:start w:val="1"/>
      <w:numFmt w:val="bullet"/>
      <w:lvlText w:val=""/>
      <w:lvlJc w:val="left"/>
      <w:pPr>
        <w:ind w:hanging="360" w:left="5040"/>
      </w:pPr>
      <w:rPr>
        <w:rFonts w:ascii="Symbol" w:hAnsi="Symbol" w:hint="default"/>
      </w:rPr>
    </w:lvl>
    <w:lvl w:ilvl="7" w:tentative="1" w:tplc="04090003">
      <w:start w:val="1"/>
      <w:numFmt w:val="bullet"/>
      <w:lvlText w:val="o"/>
      <w:lvlJc w:val="left"/>
      <w:pPr>
        <w:ind w:hanging="360" w:left="5760"/>
      </w:pPr>
      <w:rPr>
        <w:rFonts w:ascii="Courier New" w:cs="Courier New" w:hAnsi="Courier New" w:hint="default"/>
      </w:rPr>
    </w:lvl>
    <w:lvl w:ilvl="8" w:tentative="1" w:tplc="04090005">
      <w:start w:val="1"/>
      <w:numFmt w:val="bullet"/>
      <w:lvlText w:val=""/>
      <w:lvlJc w:val="left"/>
      <w:pPr>
        <w:ind w:hanging="360" w:left="6480"/>
      </w:pPr>
      <w:rPr>
        <w:rFonts w:ascii="Wingdings" w:hAnsi="Wingdings" w:hint="default"/>
      </w:rPr>
    </w:lvl>
  </w:abstractNum>
  <w:abstractNum w15:restartNumberingAfterBreak="0" w:abstractNumId="5">
    <w:nsid w:val="50E51DAE"/>
    <w:multiLevelType w:val="multilevel"/>
    <w:tmpl w:val="563A878E"/>
    <w:styleLink w:val="CurrentList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15:restartNumberingAfterBreak="0" w:abstractNumId="6">
    <w:nsid w:val="52107C0B"/>
    <w:multiLevelType w:val="multilevel"/>
    <w:tmpl w:val="BBB8FE78"/>
    <w:lvl w:ilvl="0">
      <w:start w:val="1"/>
      <w:numFmt w:val="decimal"/>
      <w:isLgl/>
      <w:lvlText w:val="%1."/>
      <w:lvlJc w:val="left"/>
      <w:pPr>
        <w:ind w:hanging="360" w:left="360"/>
      </w:pPr>
      <w:rPr>
        <w:rFonts w:hint="default"/>
      </w:rPr>
    </w:lvl>
    <w:lvl w:ilvl="1">
      <w:start w:val="1"/>
      <w:numFmt w:val="decimal"/>
      <w:lvlText w:val="%1.%2."/>
      <w:lvlJc w:val="left"/>
      <w:pPr>
        <w:ind w:hanging="432" w:left="79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15:restartNumberingAfterBreak="0" w:abstractNumId="7">
    <w:nsid w:val="7CD12584"/>
    <w:multiLevelType w:val="multilevel"/>
    <w:tmpl w:val="06BCBE18"/>
    <w:lvl w:ilvl="0">
      <w:start w:val="1"/>
      <w:numFmt w:val="decimal"/>
      <w:pStyle w:val="Heading1"/>
      <w:isLgl/>
      <w:lvlText w:val="%1."/>
      <w:lvlJc w:val="left"/>
      <w:pPr>
        <w:ind w:hanging="360" w:left="360"/>
      </w:pPr>
      <w:rPr>
        <w:rFonts w:hint="default"/>
      </w:rPr>
    </w:lvl>
    <w:lvl w:ilvl="1">
      <w:start w:val="1"/>
      <w:numFmt w:val="decimal"/>
      <w:pStyle w:val="Heading2"/>
      <w:lvlText w:val="%1.%2."/>
      <w:lvlJc w:val="left"/>
      <w:pPr>
        <w:ind w:hanging="432" w:left="792"/>
      </w:pPr>
      <w:rPr>
        <w:rFonts w:hint="default"/>
      </w:rPr>
    </w:lvl>
    <w:lvl w:ilvl="2">
      <w:start w:val="1"/>
      <w:numFmt w:val="decimal"/>
      <w:pStyle w:val="Heading3"/>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abstractNumId="990">
    <w:nsid w:val="0000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1">
    <w:nsid w:val="0000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num w16cid:durableId="1720471213" w:numId="1">
    <w:abstractNumId w:val="2"/>
  </w:num>
  <w:num w16cid:durableId="1648320710" w:numId="2">
    <w:abstractNumId w:val="5"/>
  </w:num>
  <w:num w16cid:durableId="2017804043" w:numId="3">
    <w:abstractNumId w:val="6"/>
  </w:num>
  <w:num w16cid:durableId="1651909906" w:numId="4">
    <w:abstractNumId w:val="3"/>
  </w:num>
  <w:num w16cid:durableId="521095555" w:numId="5">
    <w:abstractNumId w:val="7"/>
  </w:num>
  <w:num w16cid:durableId="817499995" w:numId="6">
    <w:abstractNumId w:val="4"/>
  </w:num>
  <w:num w16cid:durableId="1906332917" w:numId="7">
    <w:abstractNumId w:val="0"/>
  </w:num>
  <w:num w16cid:durableId="1745058132" w:numId="8">
    <w:abstractNumId w:val="1"/>
  </w:num>
  <w:num w16cid:durableId="1817255597" w:numId="9">
    <w:abstractNumId w:val="1"/>
  </w:num>
  <w:num w16cid:durableId="172231987" w:numId="10">
    <w:abstractNumId w:val="1"/>
  </w:num>
  <w:num w16cid:durableId="92215818" w:numId="11">
    <w:abstractNumId w:val="1"/>
  </w:num>
  <w:num w16cid:durableId="1483934940" w:numId="12">
    <w:abstractNumId w:val="1"/>
  </w:num>
  <w:num w16cid:durableId="1150366971" w:numId="13">
    <w:abstractNumId w:val="1"/>
  </w:num>
  <w:num w16cid:durableId="1761292258" w:numId="14">
    <w:abstractNumId w:val="1"/>
  </w:num>
  <w:num w16cid:durableId="346903929" w:numId="15">
    <w:abstractNumId w:val="1"/>
  </w:num>
  <w:num w16cid:durableId="1559971392" w:numId="16">
    <w:abstractNumId w:val="1"/>
  </w:num>
  <w:num w16cid:durableId="517354298" w:numId="17">
    <w:abstractNumId w:val="1"/>
  </w:num>
  <w:num w16cid:durableId="833032575" w:numId="18">
    <w:abstractNumId w:val="1"/>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60"/>
  <w:embedSystemFonts/>
  <w:proofState w:grammar="clean" w:spelling="clean"/>
  <w:stylePaneFormatFilter w:allStyles="0" w:alternateStyleNames="0" w:clearFormatting="1" w:customStyles="0" w:directFormattingOnNumbering="0" w:directFormattingOnParagraphs="0" w:directFormattingOnRuns="0" w:directFormattingOnTables="0" w:headingStyles="0" w:latentStyles="1" w:numberingStyles="0" w:stylesInUse="0" w:tableStyles="0" w:top3HeadingStyles="0" w:val="1004" w:visibleStyles="0"/>
  <w:doNotTrackMoves/>
  <w:defaultTabStop w:val="720"/>
  <w:defaultTableStyle w:val="TableGrid"/>
  <w:drawingGridHorizontalSpacing w:val="360"/>
  <w:drawingGridVerticalSpacing w:val="360"/>
  <w:displayHorizontalDrawingGridEvery w:val="0"/>
  <w:displayVerticalDrawingGridEvery w:val="0"/>
  <w:characterSpacingControl w:val="doNotCompress"/>
  <w:savePreviewPicture/>
  <w:footnotePr>
    <w:footnote w:id="-1"/>
    <w:footnote w:id="0"/>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D39"/>
    <w:rsid w:val="001509A7"/>
    <w:rsid w:val="00267AAB"/>
    <w:rsid w:val="003A690E"/>
    <w:rsid w:val="00414B90"/>
    <w:rsid w:val="004528CD"/>
    <w:rsid w:val="00526565"/>
    <w:rsid w:val="00541D66"/>
    <w:rsid w:val="00544B38"/>
    <w:rsid w:val="00565810"/>
    <w:rsid w:val="005D4391"/>
    <w:rsid w:val="006148BD"/>
    <w:rsid w:val="00666DED"/>
    <w:rsid w:val="008165A3"/>
    <w:rsid w:val="00860E1D"/>
    <w:rsid w:val="008662B7"/>
    <w:rsid w:val="008852B8"/>
    <w:rsid w:val="0094385A"/>
    <w:rsid w:val="00A1506E"/>
    <w:rsid w:val="00A64414"/>
    <w:rsid w:val="00AC12F5"/>
    <w:rsid w:val="00AD54C5"/>
    <w:rsid w:val="00B03303"/>
    <w:rsid w:val="00B31D39"/>
    <w:rsid w:val="00DE2473"/>
    <w:rsid w:val="00E0006B"/>
    <w:rsid w:val="00E218FB"/>
    <w:rsid w:val="00E820F7"/>
    <w:rsid w:val="00EB543D"/>
    <w:rsid w:val="00F41D15"/>
    <w:rsid w:val="00FA1C42"/>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HAnsi" w:hAnsiTheme="minorHAnsi"/>
        <w:kern w:val="2"/>
        <w:sz w:val="24"/>
        <w:szCs w:val="24"/>
        <w:lang w:bidi="ar-SA" w:eastAsia="en-US" w:val="en-US"/>
        <w14:ligatures w14:val="standardContextual"/>
      </w:rPr>
    </w:rPrDefault>
    <w:pPrDefault>
      <w:pPr>
        <w:spacing w:after="160" w:line="27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Normal" w:type="paragraph">
    <w:name w:val="Normal"/>
    <w:qFormat/>
    <w:rsid w:val="00B31D39"/>
    <w:rPr>
      <w:rFonts w:ascii="Calibri" w:hAnsi="Calibri"/>
    </w:rPr>
  </w:style>
  <w:style w:styleId="Heading1" w:type="paragraph">
    <w:name w:val="heading 1"/>
    <w:basedOn w:val="Normal"/>
    <w:next w:val="Normal"/>
    <w:link w:val="Heading1Char"/>
    <w:uiPriority w:val="9"/>
    <w:qFormat/>
    <w:rsid w:val="00B31D39"/>
    <w:pPr>
      <w:keepNext/>
      <w:keepLines/>
      <w:numPr>
        <w:numId w:val="5"/>
      </w:numPr>
      <w:spacing w:after="80" w:before="360"/>
      <w:outlineLvl w:val="0"/>
    </w:pPr>
    <w:rPr>
      <w:rFonts w:cstheme="majorBidi" w:eastAsiaTheme="majorEastAsia"/>
      <w:b/>
      <w:color w:themeColor="accent1" w:themeShade="BF" w:val="0F4761"/>
      <w:sz w:val="40"/>
      <w:szCs w:val="40"/>
    </w:rPr>
  </w:style>
  <w:style w:styleId="Heading2" w:type="paragraph">
    <w:name w:val="heading 2"/>
    <w:basedOn w:val="Heading1"/>
    <w:next w:val="Normal"/>
    <w:link w:val="Heading2Char"/>
    <w:uiPriority w:val="9"/>
    <w:unhideWhenUsed/>
    <w:qFormat/>
    <w:rsid w:val="00FA1C42"/>
    <w:pPr>
      <w:numPr>
        <w:ilvl w:val="1"/>
      </w:numPr>
      <w:spacing w:before="160"/>
      <w:ind w:left="432"/>
      <w:outlineLvl w:val="1"/>
    </w:pPr>
    <w:rPr>
      <w:sz w:val="32"/>
      <w:szCs w:val="32"/>
    </w:rPr>
  </w:style>
  <w:style w:styleId="Heading3" w:type="paragraph">
    <w:name w:val="heading 3"/>
    <w:basedOn w:val="Heading2"/>
    <w:next w:val="Normal"/>
    <w:link w:val="Heading3Char"/>
    <w:uiPriority w:val="9"/>
    <w:unhideWhenUsed/>
    <w:qFormat/>
    <w:rsid w:val="00FA1C42"/>
    <w:pPr>
      <w:numPr>
        <w:ilvl w:val="2"/>
      </w:numPr>
      <w:ind w:left="504"/>
      <w:outlineLvl w:val="2"/>
    </w:pPr>
    <w:rPr>
      <w:rFonts w:cs="Times New Roman (Headings CS)"/>
      <w:sz w:val="28"/>
      <w:szCs w:val="28"/>
    </w:rPr>
  </w:style>
  <w:style w:styleId="Heading4" w:type="paragraph">
    <w:name w:val="heading 4"/>
    <w:basedOn w:val="Normal"/>
    <w:next w:val="Normal"/>
    <w:link w:val="Heading4Char"/>
    <w:uiPriority w:val="9"/>
    <w:semiHidden/>
    <w:unhideWhenUsed/>
    <w:qFormat/>
    <w:rsid w:val="00B31D3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Normal"/>
    <w:link w:val="Heading5Char"/>
    <w:uiPriority w:val="9"/>
    <w:semiHidden/>
    <w:unhideWhenUsed/>
    <w:qFormat/>
    <w:rsid w:val="00B31D3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Normal"/>
    <w:link w:val="Heading6Char"/>
    <w:uiPriority w:val="9"/>
    <w:semiHidden/>
    <w:unhideWhenUsed/>
    <w:qFormat/>
    <w:rsid w:val="00B31D3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Normal"/>
    <w:link w:val="Heading7Char"/>
    <w:uiPriority w:val="9"/>
    <w:semiHidden/>
    <w:unhideWhenUsed/>
    <w:qFormat/>
    <w:rsid w:val="00B31D3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Normal"/>
    <w:link w:val="Heading8Char"/>
    <w:uiPriority w:val="9"/>
    <w:semiHidden/>
    <w:unhideWhenUsed/>
    <w:qFormat/>
    <w:rsid w:val="00B31D3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Normal"/>
    <w:link w:val="Heading9Char"/>
    <w:uiPriority w:val="9"/>
    <w:semiHidden/>
    <w:unhideWhenUsed/>
    <w:qFormat/>
    <w:rsid w:val="00B31D39"/>
    <w:pPr>
      <w:keepNext/>
      <w:keepLines/>
      <w:spacing w:after="0"/>
      <w:outlineLvl w:val="8"/>
    </w:pPr>
    <w:rPr>
      <w:rFonts w:cstheme="majorBidi" w:eastAsiaTheme="majorEastAsia"/>
      <w:color w:themeColor="text1" w:themeTint="D8" w:val="272727"/>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B31D39"/>
    <w:rPr>
      <w:rFonts w:ascii="Calibri" w:cstheme="majorBidi" w:eastAsiaTheme="majorEastAsia" w:hAnsi="Calibri"/>
      <w:b/>
      <w:color w:themeColor="accent1" w:themeShade="BF" w:val="0F4761"/>
      <w:sz w:val="40"/>
      <w:szCs w:val="40"/>
    </w:rPr>
  </w:style>
  <w:style w:customStyle="1" w:styleId="Heading2Char" w:type="character">
    <w:name w:val="Heading 2 Char"/>
    <w:basedOn w:val="DefaultParagraphFont"/>
    <w:link w:val="Heading2"/>
    <w:uiPriority w:val="9"/>
    <w:rsid w:val="00FA1C42"/>
    <w:rPr>
      <w:rFonts w:ascii="Calibri" w:cstheme="majorBidi" w:eastAsiaTheme="majorEastAsia" w:hAnsi="Calibri"/>
      <w:b/>
      <w:color w:themeColor="accent1" w:themeShade="BF" w:val="0F4761"/>
      <w:sz w:val="32"/>
      <w:szCs w:val="32"/>
    </w:rPr>
  </w:style>
  <w:style w:customStyle="1" w:styleId="Heading3Char" w:type="character">
    <w:name w:val="Heading 3 Char"/>
    <w:basedOn w:val="DefaultParagraphFont"/>
    <w:link w:val="Heading3"/>
    <w:uiPriority w:val="9"/>
    <w:rsid w:val="00FA1C42"/>
    <w:rPr>
      <w:rFonts w:ascii="Calibri" w:cs="Times New Roman (Headings CS)" w:eastAsiaTheme="majorEastAsia" w:hAnsi="Calibri"/>
      <w:b/>
      <w:color w:themeColor="accent1" w:themeShade="BF" w:val="0F4761"/>
      <w:sz w:val="28"/>
      <w:szCs w:val="28"/>
    </w:rPr>
  </w:style>
  <w:style w:customStyle="1" w:styleId="Heading4Char" w:type="character">
    <w:name w:val="Heading 4 Char"/>
    <w:basedOn w:val="DefaultParagraphFont"/>
    <w:link w:val="Heading4"/>
    <w:uiPriority w:val="9"/>
    <w:semiHidden/>
    <w:rsid w:val="00B31D3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B31D3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B31D3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B31D3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B31D3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B31D39"/>
    <w:rPr>
      <w:rFonts w:cstheme="majorBidi" w:eastAsiaTheme="majorEastAsia"/>
      <w:color w:themeColor="text1" w:themeTint="D8" w:val="272727"/>
    </w:rPr>
  </w:style>
  <w:style w:styleId="Title" w:type="paragraph">
    <w:name w:val="Title"/>
    <w:basedOn w:val="Normal"/>
    <w:next w:val="Normal"/>
    <w:link w:val="TitleChar"/>
    <w:uiPriority w:val="10"/>
    <w:qFormat/>
    <w:rsid w:val="00B31D39"/>
    <w:pPr>
      <w:spacing w:after="80" w:line="240" w:lineRule="auto"/>
      <w:contextualSpacing/>
    </w:pPr>
    <w:rPr>
      <w:rFonts w:asciiTheme="majorHAnsi" w:cstheme="majorBidi" w:eastAsiaTheme="majorEastAsia" w:hAnsiTheme="majorHAnsi"/>
      <w:spacing w:val="-10"/>
      <w:kern w:val="28"/>
      <w:sz w:val="56"/>
      <w:szCs w:val="56"/>
    </w:rPr>
  </w:style>
  <w:style w:customStyle="1" w:styleId="TitleChar" w:type="character">
    <w:name w:val="Title Char"/>
    <w:basedOn w:val="DefaultParagraphFont"/>
    <w:link w:val="Title"/>
    <w:uiPriority w:val="10"/>
    <w:rsid w:val="00B31D39"/>
    <w:rPr>
      <w:rFonts w:asciiTheme="majorHAnsi" w:cstheme="majorBidi" w:eastAsiaTheme="majorEastAsia" w:hAnsiTheme="majorHAnsi"/>
      <w:spacing w:val="-10"/>
      <w:kern w:val="28"/>
      <w:sz w:val="56"/>
      <w:szCs w:val="56"/>
    </w:rPr>
  </w:style>
  <w:style w:styleId="Subtitle" w:type="paragraph">
    <w:name w:val="Subtitle"/>
    <w:basedOn w:val="Normal"/>
    <w:next w:val="Normal"/>
    <w:link w:val="SubtitleChar"/>
    <w:uiPriority w:val="11"/>
    <w:qFormat/>
    <w:rsid w:val="00B31D39"/>
    <w:pPr>
      <w:numPr>
        <w:ilvl w:val="1"/>
      </w:numPr>
    </w:pPr>
    <w:rPr>
      <w:rFonts w:cstheme="majorBidi" w:eastAsiaTheme="majorEastAsia"/>
      <w:color w:themeColor="text1" w:themeTint="A6" w:val="595959"/>
      <w:spacing w:val="15"/>
      <w:sz w:val="28"/>
      <w:szCs w:val="28"/>
    </w:rPr>
  </w:style>
  <w:style w:customStyle="1" w:styleId="SubtitleChar" w:type="character">
    <w:name w:val="Subtitle Char"/>
    <w:basedOn w:val="DefaultParagraphFont"/>
    <w:link w:val="Subtitle"/>
    <w:uiPriority w:val="11"/>
    <w:rsid w:val="00B31D39"/>
    <w:rPr>
      <w:rFonts w:cstheme="majorBidi" w:eastAsiaTheme="majorEastAsia"/>
      <w:color w:themeColor="text1" w:themeTint="A6" w:val="595959"/>
      <w:spacing w:val="15"/>
      <w:sz w:val="28"/>
      <w:szCs w:val="28"/>
    </w:rPr>
  </w:style>
  <w:style w:styleId="Quote" w:type="paragraph">
    <w:name w:val="Quote"/>
    <w:basedOn w:val="Normal"/>
    <w:next w:val="Normal"/>
    <w:link w:val="QuoteChar"/>
    <w:uiPriority w:val="29"/>
    <w:qFormat/>
    <w:rsid w:val="00B31D39"/>
    <w:pPr>
      <w:spacing w:before="160"/>
      <w:jc w:val="center"/>
    </w:pPr>
    <w:rPr>
      <w:i/>
      <w:iCs/>
      <w:color w:themeColor="text1" w:themeTint="BF" w:val="404040"/>
    </w:rPr>
  </w:style>
  <w:style w:customStyle="1" w:styleId="QuoteChar" w:type="character">
    <w:name w:val="Quote Char"/>
    <w:basedOn w:val="DefaultParagraphFont"/>
    <w:link w:val="Quote"/>
    <w:uiPriority w:val="29"/>
    <w:rsid w:val="00B31D39"/>
    <w:rPr>
      <w:i/>
      <w:iCs/>
      <w:color w:themeColor="text1" w:themeTint="BF" w:val="404040"/>
    </w:rPr>
  </w:style>
  <w:style w:styleId="ListParagraph" w:type="paragraph">
    <w:name w:val="List Paragraph"/>
    <w:basedOn w:val="Normal"/>
    <w:uiPriority w:val="34"/>
    <w:qFormat/>
    <w:rsid w:val="00B31D39"/>
    <w:pPr>
      <w:ind w:left="720"/>
      <w:contextualSpacing/>
    </w:pPr>
  </w:style>
  <w:style w:styleId="IntenseEmphasis" w:type="character">
    <w:name w:val="Intense Emphasis"/>
    <w:basedOn w:val="DefaultParagraphFont"/>
    <w:uiPriority w:val="21"/>
    <w:qFormat/>
    <w:rsid w:val="00B31D39"/>
    <w:rPr>
      <w:i/>
      <w:iCs/>
      <w:color w:themeColor="accent1" w:themeShade="BF" w:val="0F4761"/>
    </w:rPr>
  </w:style>
  <w:style w:styleId="IntenseQuote" w:type="paragraph">
    <w:name w:val="Intense Quote"/>
    <w:basedOn w:val="Normal"/>
    <w:next w:val="Normal"/>
    <w:link w:val="IntenseQuoteChar"/>
    <w:uiPriority w:val="30"/>
    <w:qFormat/>
    <w:rsid w:val="00B31D39"/>
    <w:pPr>
      <w:pBdr>
        <w:top w:color="0F4761" w:space="10" w:sz="4" w:themeColor="accent1" w:themeShade="BF" w:val="single"/>
        <w:bottom w:color="0F4761" w:space="10" w:sz="4" w:themeColor="accent1" w:themeShade="BF" w:val="single"/>
      </w:pBdr>
      <w:spacing w:after="360" w:before="360"/>
      <w:ind w:left="864" w:right="864"/>
      <w:jc w:val="center"/>
    </w:pPr>
    <w:rPr>
      <w:i/>
      <w:iCs/>
      <w:color w:themeColor="accent1" w:themeShade="BF" w:val="0F4761"/>
    </w:rPr>
  </w:style>
  <w:style w:customStyle="1" w:styleId="IntenseQuoteChar" w:type="character">
    <w:name w:val="Intense Quote Char"/>
    <w:basedOn w:val="DefaultParagraphFont"/>
    <w:link w:val="IntenseQuote"/>
    <w:uiPriority w:val="30"/>
    <w:rsid w:val="00B31D39"/>
    <w:rPr>
      <w:i/>
      <w:iCs/>
      <w:color w:themeColor="accent1" w:themeShade="BF" w:val="0F4761"/>
    </w:rPr>
  </w:style>
  <w:style w:styleId="IntenseReference" w:type="character">
    <w:name w:val="Intense Reference"/>
    <w:basedOn w:val="DefaultParagraphFont"/>
    <w:uiPriority w:val="32"/>
    <w:qFormat/>
    <w:rsid w:val="00B31D39"/>
    <w:rPr>
      <w:b/>
      <w:bCs/>
      <w:smallCaps/>
      <w:color w:themeColor="accent1" w:themeShade="BF" w:val="0F4761"/>
      <w:spacing w:val="5"/>
    </w:rPr>
  </w:style>
  <w:style w:customStyle="1" w:styleId="CurrentList1" w:type="numbering">
    <w:name w:val="Current List1"/>
    <w:uiPriority w:val="99"/>
    <w:rsid w:val="00B31D39"/>
    <w:pPr>
      <w:numPr>
        <w:numId w:val="2"/>
      </w:numPr>
    </w:pPr>
  </w:style>
  <w:style w:customStyle="1" w:styleId="CurrentList2" w:type="numbering">
    <w:name w:val="Current List2"/>
    <w:uiPriority w:val="99"/>
    <w:rsid w:val="00B31D39"/>
    <w:pPr>
      <w:numPr>
        <w:numId w:val="4"/>
      </w:numPr>
    </w:pPr>
  </w:style>
  <w:style w:styleId="TableGrid" w:type="table">
    <w:name w:val="Table Grid"/>
    <w:basedOn w:val="TableNormal"/>
    <w:uiPriority w:val="39"/>
    <w:rsid w:val="008852B8"/>
    <w:pPr>
      <w:spacing w:after="0" w:line="240" w:lineRule="auto"/>
    </w:pPr>
    <w:rPr>
      <w:rFonts w:ascii="Calibri" w:hAnsi="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blStylePr w:type="firstRow">
      <w:rPr>
        <w:b/>
      </w:rPr>
      <w:tblPr/>
      <w:tcPr>
        <w:shd w:color="auto" w:fill="A5C9EB" w:themeFill="text2" w:themeFillTint="40" w:val="clear"/>
      </w:tcPr>
    </w:tblStylePr>
  </w:style>
  <w:style w:styleId="PlainTable1" w:type="table">
    <w:name w:val="Plain Table 1"/>
    <w:basedOn w:val="TableNormal"/>
    <w:uiPriority w:val="41"/>
    <w:rsid w:val="00E820F7"/>
    <w:pPr>
      <w:spacing w:after="0" w:line="240" w:lineRule="auto"/>
    </w:pPr>
    <w:tblPr>
      <w:tblStyleRowBandSize w:val="1"/>
      <w:tblStyleColBandSize w:val="1"/>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tblStylePr w:type="firstRow">
      <w:rPr>
        <w:b/>
        <w:bCs/>
      </w:rPr>
    </w:tblStylePr>
    <w:tblStylePr w:type="lastRow">
      <w:rPr>
        <w:b/>
        <w:bCs/>
      </w:rPr>
      <w:tblPr/>
      <w:tcPr>
        <w:tcBorders>
          <w:top w:color="BFBFBF" w:space="0" w:sz="4" w:themeColor="background1" w:themeShade="BF" w:val="double"/>
        </w:tcBorders>
      </w:tcPr>
    </w:tblStylePr>
    <w:tblStylePr w:type="firstCol">
      <w:rPr>
        <w:b/>
        <w:bCs/>
      </w:rPr>
    </w:tblStylePr>
    <w:tblStylePr w:type="lastCol">
      <w:rPr>
        <w:b/>
        <w:bCs/>
      </w:rPr>
    </w:tblStylePr>
    <w:tblStylePr w:type="band1Vert">
      <w:tblPr/>
      <w:tcPr>
        <w:shd w:color="auto" w:fill="F2F2F2" w:themeFill="background1" w:themeFillShade="F2" w:val="clear"/>
      </w:tcPr>
    </w:tblStylePr>
    <w:tblStylePr w:type="band1Horz">
      <w:tblPr/>
      <w:tcPr>
        <w:shd w:color="auto" w:fill="F2F2F2" w:themeFill="background1" w:themeFillShade="F2" w:val="clear"/>
      </w:tcPr>
    </w:tblStylePr>
  </w:style>
  <w:style w:customStyle="1" w:styleId="SourceCode" w:type="paragraph">
    <w:name w:val="Source Code"/>
    <w:basedOn w:val="Normal"/>
    <w:pPr>
      <w:wordWrap w:val="0"/>
    </w:p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Pr>
      <w:i/>
      <w:color w:val="60A0B0"/>
    </w:rPr>
  </w:style>
  <w:style w:customStyle="1" w:styleId="DocumentationTok" w:type="character">
    <w:name w:val="DocumentationTok"/>
    <w:rPr>
      <w:i/>
      <w:color w:val="BA2121"/>
    </w:rPr>
  </w:style>
  <w:style w:customStyle="1" w:styleId="AnnotationTok" w:type="character">
    <w:name w:val="AnnotationTok"/>
    <w:rPr>
      <w:b/>
      <w:i/>
      <w:color w:val="60A0B0"/>
    </w:rPr>
  </w:style>
  <w:style w:customStyle="1" w:styleId="CommentVarTok" w:type="character">
    <w:name w:val="CommentVarTok"/>
    <w:rPr>
      <w:b/>
      <w:i/>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Pr>
      <w:b/>
      <w:i/>
      <w:color w:val="60A0B0"/>
    </w:rPr>
  </w:style>
  <w:style w:customStyle="1" w:styleId="WarningTok" w:type="character">
    <w:name w:val="WarningTok"/>
    <w:rPr>
      <w:b/>
      <w:i/>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Hyperlink" w:type="character">
    <w:name w:val="Hyperlink"/>
    <w:basedOn w:val="DefaultParagraphFont"/>
    <w:uiPriority w:val="99"/>
    <w:unhideWhenUsed/>
    <w:rsid w:val="008662B7"/>
    <w:rPr>
      <w:color w:themeColor="hyperlink" w:val="467886"/>
      <w:u w:val="single"/>
    </w:rPr>
  </w:style>
  <w:style w:styleId="UnresolvedMention" w:type="character">
    <w:name w:val="Unresolved Mention"/>
    <w:basedOn w:val="DefaultParagraphFont"/>
    <w:uiPriority w:val="99"/>
    <w:semiHidden/>
    <w:unhideWhenUsed/>
    <w:rsid w:val="008662B7"/>
    <w:rPr>
      <w:color w:val="605E5C"/>
      <w:shd w:color="auto" w:fill="E1DFDD" w:val="cle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7" Type="http://schemas.openxmlformats.org/officeDocument/2006/relationships/footnotes" Target="footnotes.xml"/><Relationship Id="rId8" Type="http://schemas.openxmlformats.org/officeDocument/2006/relationships/comments" Target="comments.xml"/><Relationship Id="rId30" Type="http://schemas.openxmlformats.org/officeDocument/2006/relationships/image" Target="media/rId30.png"/><Relationship Id="rId33" Type="http://schemas.openxmlformats.org/officeDocument/2006/relationships/image" Target="media/rId33.png"/><Relationship Id="rId36" Type="http://schemas.openxmlformats.org/officeDocument/2006/relationships/image" Target="media/rId36.png"/><Relationship Id="rId23" Type="http://schemas.openxmlformats.org/officeDocument/2006/relationships/image" Target="media/rId23.png"/><Relationship Id="rId20" Type="http://schemas.openxmlformats.org/officeDocument/2006/relationships/image" Target="media/rId20.png"/><Relationship Id="rId41" Type="http://schemas.openxmlformats.org/officeDocument/2006/relationships/hyperlink" Target="https://www.inrs.fr/accueil/publications/bdd/fichetox/fiche.html?refINRS=FICHETOX_58" TargetMode="External"/><Relationship Id="rId44" Type="http://schemas.openxmlformats.org/officeDocument/2006/relationships/hyperlink" Target="https://www.inrs.fr/accueil/publications/bdd/fichetox/fiche.html?refINRS=FICHETOX_58&amp;section=VLEPMesurage" TargetMode="External"/><Relationship Id="rId49" Type="http://schemas.openxmlformats.org/officeDocument/2006/relationships/hyperlink" Target="https://www.inrs.fr/accueil/publications/bdd/fichetox/fiche.html?refINRS=FICHETOX_58&amp;section=bibliographieAuteurs" TargetMode="External"/><Relationship Id="rId43" Type="http://schemas.openxmlformats.org/officeDocument/2006/relationships/hyperlink" Target="https://www.inrs.fr/accueil/publications/bdd/fichetox/fiche.html?refINRS=FICHETOX_58&amp;section=caracteristiques" TargetMode="External"/><Relationship Id="rId42" Type="http://schemas.openxmlformats.org/officeDocument/2006/relationships/hyperlink" Target="https://www.inrs.fr/accueil/publications/bdd/fichetox/fiche.html?refINRS=FICHETOX_58&amp;section=generalites" TargetMode="External"/><Relationship Id="rId45" Type="http://schemas.openxmlformats.org/officeDocument/2006/relationships/hyperlink" Target="https://www.inrs.fr/accueil/publications/bdd/fichetox/fiche.html?refINRS=FICHETOX_58&amp;section=incendieExplosion" TargetMode="External"/><Relationship Id="rId46" Type="http://schemas.openxmlformats.org/officeDocument/2006/relationships/hyperlink" Target="https://www.inrs.fr/accueil/publications/bdd/fichetox/fiche.html?refINRS=FICHETOX_58&amp;section=pathologieToxicologie" TargetMode="External"/><Relationship Id="rId48" Type="http://schemas.openxmlformats.org/officeDocument/2006/relationships/hyperlink" Target="https://www.inrs.fr/accueil/publications/bdd/fichetox/fiche.html?refINRS=FICHETOX_58&amp;section=recommandations" TargetMode="External"/><Relationship Id="rId47" Type="http://schemas.openxmlformats.org/officeDocument/2006/relationships/hyperlink" Target="https://www.inrs.fr/accueil/publications/bdd/fichetox/fiche.html?refINRS=FICHETOX_58&amp;section=reglementation" TargetMode="External"/></Relationships>
</file>

<file path=word/_rels/footnotes.xml.rels><?xml version='1.0' encoding='UTF-8' standalone='yes'?>
<Relationships xmlns="http://schemas.openxmlformats.org/package/2006/relationships"><Relationship Id="rId41" Type="http://schemas.openxmlformats.org/officeDocument/2006/relationships/hyperlink" Target="https://www.inrs.fr/accueil/publications/bdd/fichetox/fiche.html?refINRS=FICHETOX_58" TargetMode="External"/><Relationship Id="rId44" Type="http://schemas.openxmlformats.org/officeDocument/2006/relationships/hyperlink" Target="https://www.inrs.fr/accueil/publications/bdd/fichetox/fiche.html?refINRS=FICHETOX_58&amp;section=VLEPMesurage" TargetMode="External"/><Relationship Id="rId49" Type="http://schemas.openxmlformats.org/officeDocument/2006/relationships/hyperlink" Target="https://www.inrs.fr/accueil/publications/bdd/fichetox/fiche.html?refINRS=FICHETOX_58&amp;section=bibliographieAuteurs" TargetMode="External"/><Relationship Id="rId43" Type="http://schemas.openxmlformats.org/officeDocument/2006/relationships/hyperlink" Target="https://www.inrs.fr/accueil/publications/bdd/fichetox/fiche.html?refINRS=FICHETOX_58&amp;section=caracteristiques" TargetMode="External"/><Relationship Id="rId42" Type="http://schemas.openxmlformats.org/officeDocument/2006/relationships/hyperlink" Target="https://www.inrs.fr/accueil/publications/bdd/fichetox/fiche.html?refINRS=FICHETOX_58&amp;section=generalites" TargetMode="External"/><Relationship Id="rId45" Type="http://schemas.openxmlformats.org/officeDocument/2006/relationships/hyperlink" Target="https://www.inrs.fr/accueil/publications/bdd/fichetox/fiche.html?refINRS=FICHETOX_58&amp;section=incendieExplosion" TargetMode="External"/><Relationship Id="rId46" Type="http://schemas.openxmlformats.org/officeDocument/2006/relationships/hyperlink" Target="https://www.inrs.fr/accueil/publications/bdd/fichetox/fiche.html?refINRS=FICHETOX_58&amp;section=pathologieToxicologie" TargetMode="External"/><Relationship Id="rId48" Type="http://schemas.openxmlformats.org/officeDocument/2006/relationships/hyperlink" Target="https://www.inrs.fr/accueil/publications/bdd/fichetox/fiche.html?refINRS=FICHETOX_58&amp;section=recommandations" TargetMode="External"/><Relationship Id="rId47" Type="http://schemas.openxmlformats.org/officeDocument/2006/relationships/hyperlink" Target="https://www.inrs.fr/accueil/publications/bdd/fichetox/fiche.html?refINRS=FICHETOX_58&amp;section=reglement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38</Words>
  <Characters>167</Characters>
  <Application>Microsoft Office Word</Application>
  <DocSecurity>0</DocSecurity>
  <Lines>16</Lines>
  <Paragraphs>18</Paragraphs>
  <ScaleCrop>false</ScaleCrop>
  <Company/>
  <LinksUpToDate>false</LinksUpToDate>
  <CharactersWithSpaces>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2026-06-16T12:13:05Z</dcterms:created>
  <dcterms:modified xsi:type="dcterms:W3CDTF">2026-06-16T12:13:05Z</dcterms:modified>
</cp:coreProperties>
</file>

<file path=docProps/custom.xml><?xml version="1.0" encoding="utf-8"?>
<Properties xmlns="http://schemas.openxmlformats.org/officeDocument/2006/custom-properties" xmlns:vt="http://schemas.openxmlformats.org/officeDocument/2006/docPropsVTypes"/>
</file>