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p>
      <w:r>
        <w:br w:type="page"/>
      </w:r>
    </w:p>
    <w:tbl>
      <w:tblPr>
        <w:tblStyle w:val="TableGrid"/>
        <w:tblW w:type="pct" w:w="5000"/>
        <w:jc w:val="left"/>
        <w:tblLayout w:type="autofit"/>
        <w:tblLook w:firstRow="1" w:lastRow="0" w:firstColumn="0" w:lastColumn="0" w:noHBand="0" w:noVBand="1" w:val="000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960"/>
        <w:gridCol w:w="3960"/>
      </w:tblGrid>
      <w:tr>
        <w:tc>
          <w:tcPr/>
          <w:p>
            <w:pPr>
              <w:pStyle w:val="Compact"/>
              <w:rPr>
                <w:sz w:val="20"/>
                <w:szCs w:val="20"/>
              </w:rPr>
            </w:pPr>
            <w:r>
              <w:rPr>
                <w:sz w:val="20"/>
                <w:szCs w:val="20"/>
              </w:rPr>
              <w:t xml:space="preserve">Tilte</w:t>
            </w:r>
          </w:p>
        </w:tc>
        <w:tc>
          <w:tcPr/>
          <w:p>
            <w:pPr>
              <w:pStyle w:val="Compact"/>
              <w:rPr>
                <w:sz w:val="20"/>
                <w:szCs w:val="20"/>
              </w:rPr>
            </w:pPr>
            <w:r>
              <w:rPr>
                <w:sz w:val="20"/>
                <w:szCs w:val="20"/>
              </w:rPr>
              <w:t xml:space="preserve">EmilIA – Analyse des dangers du produit acetate-de-plomb</w:t>
            </w:r>
          </w:p>
        </w:tc>
      </w:tr>
      <w:tr>
        <w:tc>
          <w:tcPr/>
          <w:p>
            <w:pPr>
              <w:pStyle w:val="Compact"/>
              <w:rPr>
                <w:sz w:val="20"/>
                <w:szCs w:val="20"/>
              </w:rPr>
            </w:pPr>
            <w:r>
              <w:rPr>
                <w:sz w:val="20"/>
                <w:szCs w:val="20"/>
              </w:rPr>
              <w:t xml:space="preserve">Company</w:t>
            </w:r>
          </w:p>
        </w:tc>
        <w:tc>
          <w:tcPr/>
          <w:p>
            <w:pPr>
              <w:pStyle w:val="Compact"/>
              <w:rPr>
                <w:sz w:val="20"/>
                <w:szCs w:val="20"/>
              </w:rPr>
            </w:pPr>
            <w:r>
              <w:rPr>
                <w:sz w:val="20"/>
                <w:szCs w:val="20"/>
              </w:rPr>
              <w:t xml:space="preserve">ROTH AG</w:t>
            </w:r>
          </w:p>
        </w:tc>
      </w:tr>
      <w:tr>
        <w:tc>
          <w:tcPr/>
          <w:p>
            <w:pPr>
              <w:pStyle w:val="Compact"/>
              <w:rPr>
                <w:sz w:val="20"/>
                <w:szCs w:val="20"/>
              </w:rPr>
            </w:pPr>
            <w:r>
              <w:rPr>
                <w:sz w:val="20"/>
                <w:szCs w:val="20"/>
              </w:rPr>
              <w:t xml:space="preserve">Date</w:t>
            </w:r>
          </w:p>
        </w:tc>
        <w:tc>
          <w:tcPr/>
          <w:p>
            <w:pPr>
              <w:pStyle w:val="Compact"/>
              <w:rPr>
                <w:sz w:val="20"/>
                <w:szCs w:val="20"/>
              </w:rPr>
            </w:pPr>
            <w:r>
              <w:rPr>
                <w:sz w:val="20"/>
                <w:szCs w:val="20"/>
              </w:rPr>
              <w:t xml:space="preserve">2026-06-16</w:t>
            </w:r>
          </w:p>
        </w:tc>
      </w:tr>
      <w:tr>
        <w:tc>
          <w:tcPr/>
          <w:p>
            <w:pPr>
              <w:pStyle w:val="Compact"/>
              <w:rPr>
                <w:sz w:val="20"/>
                <w:szCs w:val="20"/>
              </w:rPr>
            </w:pPr>
            <w:r>
              <w:rPr>
                <w:sz w:val="20"/>
                <w:szCs w:val="20"/>
              </w:rPr>
              <w:t xml:space="preserve">Version</w:t>
            </w:r>
          </w:p>
        </w:tc>
        <w:tc>
          <w:tcPr/>
          <w:p>
            <w:pPr>
              <w:pStyle w:val="Compact"/>
              <w:rPr>
                <w:sz w:val="20"/>
                <w:szCs w:val="20"/>
              </w:rPr>
            </w:pPr>
            <w:r>
              <w:rPr>
                <w:sz w:val="20"/>
                <w:szCs w:val="20"/>
              </w:rPr>
              <w:t xml:space="preserve">Rev0</w:t>
            </w:r>
          </w:p>
        </w:tc>
      </w:tr>
      <w:tr>
        <w:tc>
          <w:tcPr/>
          <w:p>
            <w:pPr>
              <w:pStyle w:val="Compact"/>
              <w:rPr>
                <w:sz w:val="20"/>
                <w:szCs w:val="20"/>
              </w:rPr>
            </w:pPr>
            <w:r>
              <w:rPr>
                <w:sz w:val="20"/>
                <w:szCs w:val="20"/>
              </w:rPr>
              <w:t xml:space="preserve">Auteur</w:t>
            </w:r>
          </w:p>
        </w:tc>
        <w:tc>
          <w:tcPr/>
          <w:p>
            <w:pPr>
              <w:pStyle w:val="Compact"/>
              <w:rPr>
                <w:sz w:val="20"/>
                <w:szCs w:val="20"/>
              </w:rPr>
            </w:pPr>
            <w:r>
              <w:rPr>
                <w:sz w:val="20"/>
                <w:szCs w:val="20"/>
              </w:rPr>
              <w:t xml:space="preserve">Emilia 0.7.1</w:t>
            </w:r>
          </w:p>
        </w:tc>
      </w:tr>
      <w:tr>
        <w:tc>
          <w:tcPr/>
          <w:p>
            <w:pPr>
              <w:pStyle w:val="Compact"/>
              <w:rPr>
                <w:sz w:val="20"/>
                <w:szCs w:val="20"/>
              </w:rPr>
            </w:pPr>
          </w:p>
        </w:tc>
        <w:tc>
          <w:tcPr/>
          <w:p>
            <w:pPr>
              <w:pStyle w:val="Compact"/>
              <w:rPr>
                <w:sz w:val="20"/>
                <w:szCs w:val="20"/>
              </w:rPr>
            </w:pPr>
          </w:p>
        </w:tc>
      </w:tr>
      <w:tr>
        <w:tc>
          <w:tcPr/>
          <w:p>
            <w:pPr>
              <w:pStyle w:val="Compact"/>
              <w:rPr>
                <w:sz w:val="20"/>
                <w:szCs w:val="20"/>
              </w:rPr>
            </w:pPr>
            <w:r>
              <w:rPr>
                <w:sz w:val="20"/>
                <w:szCs w:val="20"/>
              </w:rPr>
              <w:drawing>
                <wp:inline>
                  <wp:extent cx="2159999" cy="592098"/>
                  <wp:effectExtent b="0" l="0" r="0" t="0"/>
                  <wp:docPr descr="Modyva Logo" title="" id="21" name="Picture"/>
                  <a:graphic>
                    <a:graphicData uri="http://schemas.openxmlformats.org/drawingml/2006/picture">
                      <pic:pic>
                        <pic:nvPicPr>
                          <pic:cNvPr descr="templates/modyva.png" id="22" name="Picture"/>
                          <pic:cNvPicPr>
                            <a:picLocks noChangeArrowheads="1" noChangeAspect="1"/>
                          </pic:cNvPicPr>
                        </pic:nvPicPr>
                        <pic:blipFill>
                          <a:blip r:embed="rId20"/>
                          <a:stretch>
                            <a:fillRect/>
                          </a:stretch>
                        </pic:blipFill>
                        <pic:spPr bwMode="auto">
                          <a:xfrm>
                            <a:off x="0" y="0"/>
                            <a:ext cx="2159999" cy="592098"/>
                          </a:xfrm>
                          <a:prstGeom prst="rect">
                            <a:avLst/>
                          </a:prstGeom>
                          <a:noFill/>
                          <a:ln w="9525">
                            <a:noFill/>
                            <a:headEnd/>
                            <a:tailEnd/>
                          </a:ln>
                        </pic:spPr>
                      </pic:pic>
                    </a:graphicData>
                  </a:graphic>
                </wp:inline>
              </w:drawing>
            </w:r>
          </w:p>
        </w:tc>
        <w:tc>
          <w:tcPr/>
          <w:p>
            <w:pPr>
              <w:pStyle w:val="Compact"/>
              <w:rPr>
                <w:sz w:val="20"/>
                <w:szCs w:val="20"/>
              </w:rPr>
            </w:pPr>
            <w:r>
              <w:rPr>
                <w:sz w:val="20"/>
                <w:szCs w:val="20"/>
              </w:rPr>
              <w:drawing>
                <wp:inline>
                  <wp:extent cx="2159999" cy="848259"/>
                  <wp:effectExtent b="0" l="0" r="0" t="0"/>
                  <wp:docPr descr="Cohezio Logo" title="" id="24" name="Picture"/>
                  <a:graphic>
                    <a:graphicData uri="http://schemas.openxmlformats.org/drawingml/2006/picture">
                      <pic:pic>
                        <pic:nvPicPr>
                          <pic:cNvPr descr="templates/cohezio.png" id="25" name="Picture"/>
                          <pic:cNvPicPr>
                            <a:picLocks noChangeArrowheads="1" noChangeAspect="1"/>
                          </pic:cNvPicPr>
                        </pic:nvPicPr>
                        <pic:blipFill>
                          <a:blip r:embed="rId23"/>
                          <a:stretch>
                            <a:fillRect/>
                          </a:stretch>
                        </pic:blipFill>
                        <pic:spPr bwMode="auto">
                          <a:xfrm>
                            <a:off x="0" y="0"/>
                            <a:ext cx="2159999" cy="848259"/>
                          </a:xfrm>
                          <a:prstGeom prst="rect">
                            <a:avLst/>
                          </a:prstGeom>
                          <a:noFill/>
                          <a:ln w="9525">
                            <a:noFill/>
                            <a:headEnd/>
                            <a:tailEnd/>
                          </a:ln>
                        </pic:spPr>
                      </pic:pic>
                    </a:graphicData>
                  </a:graphic>
                </wp:inline>
              </w:drawing>
            </w:r>
          </w:p>
        </w:tc>
      </w:tr>
    </w:tbl>
    <w:p>
      <w:r>
        <w:br w:type="page"/>
      </w:r>
    </w:p>
    <w:bookmarkStart w:id="26" w:name="introduction"/>
    <w:p>
      <w:pPr>
        <w:pStyle w:val="Heading1"/>
      </w:pPr>
      <w:r>
        <w:t xml:space="preserve">Introduction</w:t>
      </w:r>
    </w:p>
    <w:p>
      <w:pPr>
        <w:pStyle w:val="FirstParagraph"/>
      </w:pPr>
      <w:r>
        <w:t xml:space="preserve">Le présent rapport analyse les dangers intrinsèques du produit</w:t>
      </w:r>
      <w:r>
        <w:t xml:space="preserve"> </w:t>
      </w:r>
      <w:r>
        <w:rPr>
          <w:b/>
          <w:bCs/>
        </w:rPr>
        <w:t xml:space="preserve">acetate-de-plomb</w:t>
      </w:r>
      <w:r>
        <w:t xml:space="preserve">.</w:t>
      </w:r>
    </w:p>
    <w:p>
      <w:pPr>
        <w:pStyle w:val="BodyText"/>
      </w:pPr>
      <w:r>
        <w:t xml:space="preserve">L’analyse vise à répondre aux questions suivantes :</w:t>
      </w:r>
    </w:p>
    <w:p>
      <w:pPr>
        <w:pStyle w:val="Compact"/>
        <w:numPr>
          <w:ilvl w:val="0"/>
          <w:numId w:val="1001"/>
        </w:numPr>
      </w:pPr>
      <w:r>
        <w:t xml:space="preserve">Quels sont les dangers associés au produit et à ses substances ?</w:t>
      </w:r>
    </w:p>
    <w:p>
      <w:pPr>
        <w:pStyle w:val="Compact"/>
        <w:numPr>
          <w:ilvl w:val="0"/>
          <w:numId w:val="1001"/>
        </w:numPr>
      </w:pPr>
      <w:r>
        <w:t xml:space="preserve">Les substances présentes sont-elles soumises à des valeurs limites d’exposition ou à des classifications particulières (CMR, SEVESO, …) ?</w:t>
      </w:r>
    </w:p>
    <w:p>
      <w:pPr>
        <w:pStyle w:val="Compact"/>
        <w:numPr>
          <w:ilvl w:val="0"/>
          <w:numId w:val="1001"/>
        </w:numPr>
      </w:pPr>
      <w:r>
        <w:t xml:space="preserve">Quels sont les dangers pour la santé connus pour ces différentes substances ?</w:t>
      </w:r>
    </w:p>
    <w:p>
      <w:pPr>
        <w:pStyle w:val="Compact"/>
        <w:numPr>
          <w:ilvl w:val="0"/>
          <w:numId w:val="1001"/>
        </w:numPr>
      </w:pPr>
      <w:r>
        <w:t xml:space="preserve">Est-ce que la FDS reçue présente potentiellement des erreurs (obsolescence, changements dans les classifications de l’ECHA, …) ?</w:t>
      </w:r>
    </w:p>
    <w:p>
      <w:pPr>
        <w:pStyle w:val="Compact"/>
        <w:numPr>
          <w:ilvl w:val="0"/>
          <w:numId w:val="1001"/>
        </w:numPr>
      </w:pPr>
      <w:r>
        <w:t xml:space="preserve">Quelles mesures de prévention doivent être envisagées lors de l’utilisation de ce produit ?</w:t>
      </w:r>
    </w:p>
    <w:p>
      <w:pPr>
        <w:pStyle w:val="FirstParagraph"/>
      </w:pPr>
      <w:r>
        <w:t xml:space="preserve">La fiche de données de sécurité (FDS) a été traitée à l’aide de l’outil d’intelligence artificielle</w:t>
      </w:r>
      <w:r>
        <w:t xml:space="preserve"> </w:t>
      </w:r>
      <w:r>
        <w:rPr>
          <w:b/>
          <w:bCs/>
        </w:rPr>
        <w:t xml:space="preserve">EmilIA</w:t>
      </w:r>
      <w:r>
        <w:t xml:space="preserve"> </w:t>
      </w:r>
      <w:r>
        <w:t xml:space="preserve">développé par</w:t>
      </w:r>
      <w:r>
        <w:t xml:space="preserve"> </w:t>
      </w:r>
      <w:r>
        <w:rPr>
          <w:b/>
          <w:bCs/>
        </w:rPr>
        <w:t xml:space="preserve">Modyva</w:t>
      </w:r>
      <w:r>
        <w:t xml:space="preserve">. Les résultats ont été revus et contrôlés par Modyva.</w:t>
      </w:r>
      <w:r>
        <w:br/>
      </w:r>
      <w:r>
        <w:t xml:space="preserve">L’analyse se limite à une analyse des dangers. L’exposition au risque basée sur les conditions réelles d’utilisation in-situ n’a pas été évaluée.</w:t>
      </w:r>
    </w:p>
    <w:p>
      <w:pPr>
        <w:pStyle w:val="BodyText"/>
      </w:pPr>
      <w:r>
        <w:t xml:space="preserve">Cette étude est basée sur les prescriptions et recommandations suivantes :</w:t>
      </w:r>
    </w:p>
    <w:p>
      <w:pPr>
        <w:pStyle w:val="Compact"/>
        <w:numPr>
          <w:ilvl w:val="0"/>
          <w:numId w:val="1002"/>
        </w:numPr>
      </w:pPr>
      <w:r>
        <w:t xml:space="preserve">LIVRE VI — Agents chimiques, cancérigènes, mutagènes et reprotoxiques</w:t>
      </w:r>
    </w:p>
    <w:p>
      <w:pPr>
        <w:pStyle w:val="Compact"/>
        <w:numPr>
          <w:ilvl w:val="0"/>
          <w:numId w:val="1002"/>
        </w:numPr>
      </w:pPr>
      <w:r>
        <w:t xml:space="preserve">Fiches toxicologiques de l’INRS</w:t>
      </w:r>
    </w:p>
    <w:p>
      <w:pPr>
        <w:pStyle w:val="Compact"/>
        <w:numPr>
          <w:ilvl w:val="0"/>
          <w:numId w:val="1002"/>
        </w:numPr>
      </w:pPr>
      <w:r>
        <w:t xml:space="preserve">Directive 2012/18/UE (SEVESO)</w:t>
      </w:r>
    </w:p>
    <w:p>
      <w:pPr>
        <w:pStyle w:val="Compact"/>
        <w:numPr>
          <w:ilvl w:val="0"/>
          <w:numId w:val="1002"/>
        </w:numPr>
      </w:pPr>
      <w:r>
        <w:t xml:space="preserve">Règlement (CE) 1272/2008 (CLP)</w:t>
      </w:r>
    </w:p>
    <w:p>
      <w:pPr>
        <w:pStyle w:val="Compact"/>
        <w:numPr>
          <w:ilvl w:val="0"/>
          <w:numId w:val="1002"/>
        </w:numPr>
      </w:pPr>
      <w:r>
        <w:t xml:space="preserve">Règlement (CE) 1907/2006 (REACH) — Annexe XVII / Annexe XIV</w:t>
      </w:r>
    </w:p>
    <w:p>
      <w:pPr>
        <w:pStyle w:val="Compact"/>
        <w:numPr>
          <w:ilvl w:val="0"/>
          <w:numId w:val="1002"/>
        </w:numPr>
      </w:pPr>
      <w:r>
        <w:t xml:space="preserve">Règlement (UE) 2019/1021 (POP)</w:t>
      </w:r>
    </w:p>
    <w:p>
      <w:pPr>
        <w:pStyle w:val="Compact"/>
        <w:numPr>
          <w:ilvl w:val="0"/>
          <w:numId w:val="1002"/>
        </w:numPr>
      </w:pPr>
      <w:r>
        <w:t xml:space="preserve">Règlement (UE) 528/2012 (Biocides)</w:t>
      </w:r>
    </w:p>
    <w:p>
      <w:r>
        <w:br w:type="page"/>
      </w:r>
    </w:p>
    <w:bookmarkEnd w:id="26"/>
    <w:bookmarkStart w:id="54" w:name="analyse-des-dangers-acetate-de-plomb"/>
    <w:p>
      <w:pPr>
        <w:pStyle w:val="Heading1"/>
      </w:pPr>
      <w:r>
        <w:t xml:space="preserve">Analyse des dangers : acetate-de-plomb</w:t>
      </w:r>
    </w:p>
    <w:p>
      <w:pPr>
        <w:pStyle w:val="FirstParagraph"/>
      </w:pPr>
      <w:r>
        <w:t xml:space="preserve">Dans la suite, nous détaillons les dangers associés au produit</w:t>
      </w:r>
      <w:r>
        <w:t xml:space="preserve"> </w:t>
      </w:r>
      <w:r>
        <w:rPr>
          <w:b/>
          <w:bCs/>
        </w:rPr>
        <w:t xml:space="preserve">acetate-de-plomb</w:t>
      </w:r>
      <w:r>
        <w:t xml:space="preserve">, les éléments potentiellement erronés ou obsolètes relevés dans la FDS, les classifications des différentes substances présentes et les protections individuelles à envisager.</w:t>
      </w:r>
    </w:p>
    <w:bookmarkStart w:id="27" w:name="X8dba009bd9247913838556218799ec0ac58d74c"/>
    <w:p>
      <w:pPr>
        <w:pStyle w:val="Heading2"/>
      </w:pPr>
      <w:r>
        <w:t xml:space="preserve">Remarques préalables relatives au contenu de la FDS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582"/>
        <w:gridCol w:w="4337"/>
      </w:tblGrid>
      <w:tr>
        <w:trPr>
          <w:tblHeader w:val="on"/>
        </w:trPr>
        <w:tc>
          <w:tcPr/>
          <w:p>
            <w:pPr>
              <w:pStyle w:val="Compact"/>
              <w:rPr>
                <w:sz w:val="20"/>
                <w:szCs w:val="20"/>
              </w:rPr>
            </w:pPr>
            <w:r>
              <w:rPr>
                <w:sz w:val="20"/>
                <w:szCs w:val="20"/>
              </w:rPr>
              <w:t xml:space="preserve">Propriété</w:t>
            </w:r>
          </w:p>
        </w:tc>
        <w:tc>
          <w:tcPr/>
          <w:p>
            <w:pPr>
              <w:pStyle w:val="Compact"/>
              <w:rPr>
                <w:sz w:val="20"/>
                <w:szCs w:val="20"/>
              </w:rPr>
            </w:pPr>
            <w:r>
              <w:rPr>
                <w:sz w:val="20"/>
                <w:szCs w:val="20"/>
              </w:rPr>
              <w:t xml:space="preserve">Valeur</w:t>
            </w:r>
          </w:p>
        </w:tc>
      </w:tr>
      <w:tr>
        <w:tc>
          <w:tcPr/>
          <w:p>
            <w:pPr>
              <w:pStyle w:val="Compact"/>
              <w:rPr>
                <w:sz w:val="20"/>
                <w:szCs w:val="20"/>
              </w:rPr>
            </w:pPr>
            <w:r>
              <w:rPr>
                <w:sz w:val="20"/>
                <w:szCs w:val="20"/>
              </w:rPr>
              <w:t xml:space="preserve">Fabriqué par</w:t>
            </w:r>
          </w:p>
        </w:tc>
        <w:tc>
          <w:tcPr/>
          <w:p>
            <w:pPr>
              <w:pStyle w:val="Compact"/>
              <w:rPr>
                <w:sz w:val="20"/>
                <w:szCs w:val="20"/>
              </w:rPr>
            </w:pPr>
            <w:r>
              <w:rPr>
                <w:sz w:val="20"/>
                <w:szCs w:val="20"/>
              </w:rPr>
              <w:t xml:space="preserve">ROTH AG</w:t>
            </w:r>
          </w:p>
        </w:tc>
      </w:tr>
      <w:tr>
        <w:tc>
          <w:tcPr/>
          <w:p>
            <w:pPr>
              <w:pStyle w:val="Compact"/>
              <w:rPr>
                <w:sz w:val="20"/>
                <w:szCs w:val="20"/>
              </w:rPr>
            </w:pPr>
            <w:r>
              <w:rPr>
                <w:sz w:val="20"/>
                <w:szCs w:val="20"/>
              </w:rPr>
              <w:t xml:space="preserve">État physique</w:t>
            </w:r>
          </w:p>
        </w:tc>
        <w:tc>
          <w:tcPr/>
          <w:p>
            <w:pPr>
              <w:pStyle w:val="Compact"/>
              <w:rPr>
                <w:sz w:val="20"/>
                <w:szCs w:val="20"/>
              </w:rPr>
            </w:pPr>
            <w:r>
              <w:rPr>
                <w:sz w:val="20"/>
                <w:szCs w:val="20"/>
              </w:rPr>
              <w:t xml:space="preserve">solide</w:t>
            </w:r>
          </w:p>
        </w:tc>
      </w:tr>
      <w:tr>
        <w:tc>
          <w:tcPr/>
          <w:p>
            <w:pPr>
              <w:pStyle w:val="Compact"/>
              <w:rPr>
                <w:sz w:val="20"/>
                <w:szCs w:val="20"/>
              </w:rPr>
            </w:pPr>
            <w:r>
              <w:rPr>
                <w:sz w:val="20"/>
                <w:szCs w:val="20"/>
              </w:rPr>
              <w:t xml:space="preserve">Forme</w:t>
            </w:r>
          </w:p>
        </w:tc>
        <w:tc>
          <w:tcPr/>
          <w:p>
            <w:pPr>
              <w:pStyle w:val="Compact"/>
              <w:rPr>
                <w:sz w:val="20"/>
                <w:szCs w:val="20"/>
              </w:rPr>
            </w:pPr>
            <w:r>
              <w:rPr>
                <w:sz w:val="20"/>
                <w:szCs w:val="20"/>
              </w:rPr>
              <w:t xml:space="preserve">poudre cristalline (poudre fine)</w:t>
            </w:r>
          </w:p>
        </w:tc>
      </w:tr>
      <w:tr>
        <w:tc>
          <w:tcPr/>
          <w:p>
            <w:pPr>
              <w:pStyle w:val="Compact"/>
              <w:rPr>
                <w:sz w:val="20"/>
                <w:szCs w:val="20"/>
              </w:rPr>
            </w:pPr>
            <w:r>
              <w:rPr>
                <w:sz w:val="20"/>
                <w:szCs w:val="20"/>
              </w:rPr>
              <w:t xml:space="preserve">pH</w:t>
            </w:r>
          </w:p>
        </w:tc>
        <w:tc>
          <w:tcPr/>
          <w:p>
            <w:pPr>
              <w:pStyle w:val="Compact"/>
              <w:rPr>
                <w:sz w:val="20"/>
                <w:szCs w:val="20"/>
              </w:rPr>
            </w:pPr>
            <w:r>
              <w:rPr>
                <w:sz w:val="20"/>
                <w:szCs w:val="20"/>
              </w:rPr>
              <w:t xml:space="preserve">5,5 – 6,5</w:t>
            </w:r>
          </w:p>
        </w:tc>
      </w:tr>
      <w:tr>
        <w:tc>
          <w:tcPr/>
          <w:p>
            <w:pPr>
              <w:pStyle w:val="Compact"/>
              <w:rPr>
                <w:sz w:val="20"/>
                <w:szCs w:val="20"/>
              </w:rPr>
            </w:pPr>
            <w:r>
              <w:rPr>
                <w:sz w:val="20"/>
                <w:szCs w:val="20"/>
              </w:rPr>
              <w:t xml:space="preserve">Usage</w:t>
            </w:r>
          </w:p>
        </w:tc>
        <w:tc>
          <w:tcPr/>
          <w:p>
            <w:pPr>
              <w:pStyle w:val="Compact"/>
              <w:rPr>
                <w:sz w:val="20"/>
                <w:szCs w:val="20"/>
              </w:rPr>
            </w:pPr>
            <w:r>
              <w:rPr>
                <w:sz w:val="20"/>
                <w:szCs w:val="20"/>
              </w:rPr>
              <w:t xml:space="preserve">Utilisations identifiées pertinentes : substance chimique de laboratoire, utilisation en laboratoire et à des fins d’analyse.</w:t>
            </w:r>
          </w:p>
        </w:tc>
      </w:tr>
      <w:tr>
        <w:tc>
          <w:tcPr/>
          <w:p>
            <w:pPr>
              <w:pStyle w:val="Compact"/>
              <w:rPr>
                <w:sz w:val="20"/>
                <w:szCs w:val="20"/>
              </w:rPr>
            </w:pPr>
            <w:r>
              <w:rPr>
                <w:sz w:val="20"/>
                <w:szCs w:val="20"/>
              </w:rPr>
              <w:t xml:space="preserve">Date FDS</w:t>
            </w:r>
          </w:p>
        </w:tc>
        <w:tc>
          <w:tcPr/>
          <w:p>
            <w:pPr>
              <w:pStyle w:val="Compact"/>
              <w:rPr>
                <w:sz w:val="20"/>
                <w:szCs w:val="20"/>
              </w:rPr>
            </w:pPr>
            <w:r>
              <w:rPr>
                <w:sz w:val="20"/>
                <w:szCs w:val="20"/>
              </w:rPr>
              <w:t xml:space="preserve">2026-06-16</w:t>
            </w:r>
          </w:p>
        </w:tc>
      </w:tr>
    </w:tbl>
    <w:p>
      <w:pPr>
        <w:pStyle w:val="BodyText"/>
      </w:pPr>
      <w:r>
        <w:t xml:space="preserve"> </w:t>
      </w:r>
      <w:r>
        <w:t xml:space="preserve">La FDS date du 2026-06-16. Elle a donc 0 an(s).</w:t>
      </w:r>
    </w:p>
    <w:bookmarkEnd w:id="27"/>
    <w:bookmarkStart w:id="29" w:name="erreurs-de-classification"/>
    <w:p>
      <w:pPr>
        <w:pStyle w:val="Heading2"/>
      </w:pPr>
      <w:r>
        <w:t xml:space="preserve">Erreurs de classification</w:t>
      </w:r>
    </w:p>
    <w:bookmarkStart w:id="28" w:name="produit"/>
    <w:p>
      <w:pPr>
        <w:pStyle w:val="Heading3"/>
      </w:pPr>
      <w:r>
        <w:t xml:space="preserve">Produit</w:t>
      </w:r>
    </w:p>
    <w:p>
      <w:pPr>
        <w:pStyle w:val="FirstParagraph"/>
      </w:pPr>
      <w:r>
        <w:t xml:space="preserve">EmilIA a identifié les erreurs de classification potentielles suivantes dans la FDS :</w:t>
      </w:r>
    </w:p>
    <w:p>
      <w:pPr>
        <w:pStyle w:val="Compact"/>
        <w:numPr>
          <w:ilvl w:val="0"/>
          <w:numId w:val="1003"/>
        </w:numPr>
      </w:pPr>
      <w:r>
        <w:t xml:space="preserve">La substance Lead(II) acetate trihydrate devrait être classée H302 selon les dernières classifications harmonisées publiées par l’ECHA</w:t>
      </w:r>
      <w:r>
        <w:br/>
      </w:r>
    </w:p>
    <w:p>
      <w:pPr>
        <w:pStyle w:val="Compact"/>
        <w:numPr>
          <w:ilvl w:val="0"/>
          <w:numId w:val="1003"/>
        </w:numPr>
      </w:pPr>
      <w:r>
        <w:t xml:space="preserve">La substance Lead(II) acetate trihydrate devrait être classée H332 selon les dernières classifications harmonisées publiées par l’ECHA</w:t>
      </w:r>
      <w:r>
        <w:br/>
      </w:r>
    </w:p>
    <w:p>
      <w:pPr>
        <w:pStyle w:val="Compact"/>
        <w:numPr>
          <w:ilvl w:val="0"/>
          <w:numId w:val="1003"/>
        </w:numPr>
      </w:pPr>
      <w:r>
        <w:t xml:space="preserve">La substance Lead(II) acetate trihydrate devrait être classée H360Df selon les dernières classifications harmonisées publiées par l’ECHA</w:t>
      </w:r>
      <w:r>
        <w:br/>
      </w:r>
    </w:p>
    <w:p>
      <w:pPr>
        <w:pStyle w:val="Compact"/>
        <w:numPr>
          <w:ilvl w:val="0"/>
          <w:numId w:val="1003"/>
        </w:numPr>
      </w:pPr>
      <w:r>
        <w:t xml:space="preserve">La substance Lead(II) acetate trihydrate devrait être classée H373** selon les dernières classifications harmonisées publiées par l’ECHA</w:t>
      </w:r>
      <w:r>
        <w:br/>
      </w:r>
    </w:p>
    <w:p>
      <w:pPr>
        <w:pStyle w:val="Compact"/>
        <w:numPr>
          <w:ilvl w:val="0"/>
          <w:numId w:val="1003"/>
        </w:numPr>
      </w:pPr>
      <w:r>
        <w:t xml:space="preserve">La substance Lead(II) acetate trihydrate devrait être classée H400 selon les dernières classifications harmonisées publiées par l’ECHA</w:t>
      </w:r>
      <w:r>
        <w:br/>
      </w:r>
    </w:p>
    <w:p>
      <w:pPr>
        <w:pStyle w:val="Compact"/>
        <w:numPr>
          <w:ilvl w:val="0"/>
          <w:numId w:val="1003"/>
        </w:numPr>
      </w:pPr>
      <w:r>
        <w:t xml:space="preserve">La substance Lead(II) acetate trihydrate devrait être classée H410 selon les dernières classifications harmonisées publiées par l’ECHA</w:t>
      </w:r>
      <w:r>
        <w:br/>
      </w:r>
    </w:p>
    <w:p>
      <w:pPr>
        <w:pStyle w:val="Compact"/>
        <w:numPr>
          <w:ilvl w:val="0"/>
          <w:numId w:val="1003"/>
        </w:numPr>
      </w:pPr>
      <w:r>
        <w:t xml:space="preserve">La substance Plomb(II) acétate trihydraté devrait être classée H360Df selon les dernières classifications harmonisées publiées par l’ECHA</w:t>
      </w:r>
      <w:r>
        <w:br/>
      </w:r>
    </w:p>
    <w:p>
      <w:pPr>
        <w:pStyle w:val="Compact"/>
        <w:numPr>
          <w:ilvl w:val="0"/>
          <w:numId w:val="1003"/>
        </w:numPr>
      </w:pPr>
      <w:r>
        <w:t xml:space="preserve">La substance Plomb(II) acétate trihydraté devrait être classée H373** selon les dernières classifications harmonisées publiées par l’ECHA</w:t>
      </w:r>
      <w:r>
        <w:br/>
      </w:r>
    </w:p>
    <w:p>
      <w:pPr>
        <w:pStyle w:val="Compact"/>
        <w:numPr>
          <w:ilvl w:val="0"/>
          <w:numId w:val="1003"/>
        </w:numPr>
      </w:pPr>
      <w:r>
        <w:t xml:space="preserve">La substance Plomb(II) acétate trihydraté devrait être classée H400 selon les dernières classifications harmonisées publiées par l’ECHA</w:t>
      </w:r>
      <w:r>
        <w:br/>
      </w:r>
    </w:p>
    <w:p>
      <w:pPr>
        <w:pStyle w:val="Compact"/>
        <w:numPr>
          <w:ilvl w:val="0"/>
          <w:numId w:val="1003"/>
        </w:numPr>
      </w:pPr>
      <w:r>
        <w:t xml:space="preserve">La substance Plomb(II) acétate trihydraté devrait être classée H410 selon les dernières classifications harmonisées publiées par l’ECHA</w:t>
      </w:r>
    </w:p>
    <w:bookmarkEnd w:id="28"/>
    <w:bookmarkEnd w:id="29"/>
    <w:bookmarkStart w:id="36" w:name="X8590ab4bbc4e90345d03c8c67bc0c03dd205453"/>
    <w:p>
      <w:pPr>
        <w:pStyle w:val="Heading2"/>
      </w:pPr>
      <w:r>
        <w:t xml:space="preserve">Dangers, conseils de prudence et classification pour le transport du produit</w:t>
      </w:r>
    </w:p>
    <w:p>
      <w:pPr>
        <w:pStyle w:val="FirstParagraph"/>
      </w:pPr>
      <w:r>
        <w:rPr>
          <w:b/>
          <w:bCs/>
        </w:rPr>
        <w:t xml:space="preserve">Mention d’avertissement</w:t>
      </w:r>
      <w:r>
        <w:t xml:space="preserve"> </w:t>
      </w:r>
      <w:r>
        <w:t xml:space="preserve">:</w:t>
      </w:r>
      <w:r>
        <w:t xml:space="preserve"> </w:t>
      </w:r>
      <w:r>
        <w:t xml:space="preserve">Attention</w:t>
      </w:r>
    </w:p>
    <w:p>
      <w:pPr>
        <w:pStyle w:val="BodyText"/>
      </w:pPr>
      <w:r>
        <w:rPr>
          <w:b/>
          <w:bCs/>
        </w:rPr>
        <w:t xml:space="preserve">Pictogrammes (SGH)</w:t>
      </w:r>
      <w:r>
        <w:t xml:space="preserve"> </w:t>
      </w:r>
      <w:r>
        <w:t xml:space="preserve">:</w:t>
      </w:r>
    </w:p>
    <w:p>
      <w:pPr>
        <w:pStyle w:val="BodyText"/>
      </w:pPr>
      <w:r>
        <w:drawing>
          <wp:inline>
            <wp:extent cx="719999" cy="719999"/>
            <wp:effectExtent b="0" l="0" r="0" t="0"/>
            <wp:docPr descr="Grave pour la santé" title="" id="31" name="Picture"/>
            <a:graphic>
              <a:graphicData uri="http://schemas.openxmlformats.org/drawingml/2006/picture">
                <pic:pic>
                  <pic:nvPicPr>
                    <pic:cNvPr descr="templates/SGH08.png" id="32" name="Picture"/>
                    <pic:cNvPicPr>
                      <a:picLocks noChangeArrowheads="1" noChangeAspect="1"/>
                    </pic:cNvPicPr>
                  </pic:nvPicPr>
                  <pic:blipFill>
                    <a:blip r:embed="rId30"/>
                    <a:stretch>
                      <a:fillRect/>
                    </a:stretch>
                  </pic:blipFill>
                  <pic:spPr bwMode="auto">
                    <a:xfrm>
                      <a:off x="0" y="0"/>
                      <a:ext cx="719999" cy="719999"/>
                    </a:xfrm>
                    <a:prstGeom prst="rect">
                      <a:avLst/>
                    </a:prstGeom>
                    <a:noFill/>
                    <a:ln w="9525">
                      <a:noFill/>
                      <a:headEnd/>
                      <a:tailEnd/>
                    </a:ln>
                  </pic:spPr>
                </pic:pic>
              </a:graphicData>
            </a:graphic>
          </wp:inline>
        </w:drawing>
      </w:r>
      <w:r>
        <w:t xml:space="preserve">Grave pour la santé</w:t>
      </w:r>
      <w:r>
        <w:t xml:space="preserve"> </w:t>
      </w:r>
      <w:r>
        <w:drawing>
          <wp:inline>
            <wp:extent cx="719999" cy="719999"/>
            <wp:effectExtent b="0" l="0" r="0" t="0"/>
            <wp:docPr descr="Danger pour l’environnement" title="" id="34" name="Picture"/>
            <a:graphic>
              <a:graphicData uri="http://schemas.openxmlformats.org/drawingml/2006/picture">
                <pic:pic>
                  <pic:nvPicPr>
                    <pic:cNvPr descr="templates/SGH09.png" id="35" name="Picture"/>
                    <pic:cNvPicPr>
                      <a:picLocks noChangeArrowheads="1" noChangeAspect="1"/>
                    </pic:cNvPicPr>
                  </pic:nvPicPr>
                  <pic:blipFill>
                    <a:blip r:embed="rId33"/>
                    <a:stretch>
                      <a:fillRect/>
                    </a:stretch>
                  </pic:blipFill>
                  <pic:spPr bwMode="auto">
                    <a:xfrm>
                      <a:off x="0" y="0"/>
                      <a:ext cx="719999" cy="719999"/>
                    </a:xfrm>
                    <a:prstGeom prst="rect">
                      <a:avLst/>
                    </a:prstGeom>
                    <a:noFill/>
                    <a:ln w="9525">
                      <a:noFill/>
                      <a:headEnd/>
                      <a:tailEnd/>
                    </a:ln>
                  </pic:spPr>
                </pic:pic>
              </a:graphicData>
            </a:graphic>
          </wp:inline>
        </w:drawing>
      </w:r>
      <w:r>
        <w:t xml:space="preserve">Danger pour l’environnement</w:t>
      </w:r>
    </w:p>
    <w:p>
      <w:pPr>
        <w:pStyle w:val="BodyText"/>
      </w:pPr>
      <w:r>
        <w:rPr>
          <w:b/>
          <w:bCs/>
        </w:rPr>
        <w:t xml:space="preserve">Mentions de danger</w:t>
      </w:r>
      <w:r>
        <w:t xml:space="preserve"> </w:t>
      </w:r>
      <w:r>
        <w:t xml:space="preserve">:</w:t>
      </w:r>
    </w:p>
    <w:p>
      <w:pPr>
        <w:numPr>
          <w:ilvl w:val="0"/>
          <w:numId w:val="1004"/>
        </w:numPr>
      </w:pPr>
      <w:r>
        <w:t xml:space="preserve">H373</w:t>
      </w:r>
      <w:r>
        <w:t xml:space="preserve"> </w:t>
      </w:r>
      <w:r>
        <w:t xml:space="preserve">Risque présumé d’effets graves pour les organes à la suite d’expositions répétées ou d’une exposition prolongée.</w:t>
      </w:r>
    </w:p>
    <w:p>
      <w:pPr>
        <w:numPr>
          <w:ilvl w:val="0"/>
          <w:numId w:val="1004"/>
        </w:numPr>
      </w:pPr>
      <w:r>
        <w:t xml:space="preserve">H400</w:t>
      </w:r>
      <w:r>
        <w:t xml:space="preserve"> </w:t>
      </w:r>
      <w:r>
        <w:t xml:space="preserve">Très toxique pour les organismes aquatiques.</w:t>
      </w:r>
    </w:p>
    <w:p>
      <w:pPr>
        <w:numPr>
          <w:ilvl w:val="0"/>
          <w:numId w:val="1004"/>
        </w:numPr>
      </w:pPr>
      <w:r>
        <w:t xml:space="preserve">H410</w:t>
      </w:r>
      <w:r>
        <w:t xml:space="preserve"> </w:t>
      </w:r>
      <w:r>
        <w:t xml:space="preserve">Très toxique pour les organismes aquatiques, entraîne des effets néfastes à long terme.</w:t>
      </w:r>
    </w:p>
    <w:p>
      <w:pPr>
        <w:pStyle w:val="FirstParagraph"/>
      </w:pPr>
      <w:r>
        <w:rPr>
          <w:b/>
          <w:bCs/>
        </w:rPr>
        <w:t xml:space="preserve">Conseils de prudence</w:t>
      </w:r>
      <w:r>
        <w:t xml:space="preserve"> </w:t>
      </w:r>
      <w:r>
        <w:t xml:space="preserve">:</w:t>
      </w:r>
    </w:p>
    <w:p>
      <w:pPr>
        <w:numPr>
          <w:ilvl w:val="0"/>
          <w:numId w:val="1005"/>
        </w:numPr>
      </w:pPr>
      <w:r>
        <w:t xml:space="preserve">P273</w:t>
      </w:r>
      <w:r>
        <w:t xml:space="preserve"> </w:t>
      </w:r>
      <w:r>
        <w:t xml:space="preserve">Éviter le rejet dans l’environnement.</w:t>
      </w:r>
    </w:p>
    <w:p>
      <w:pPr>
        <w:numPr>
          <w:ilvl w:val="0"/>
          <w:numId w:val="1005"/>
        </w:numPr>
      </w:pPr>
      <w:r>
        <w:t xml:space="preserve">P280</w:t>
      </w:r>
      <w:r>
        <w:t xml:space="preserve"> </w:t>
      </w:r>
      <w:r>
        <w:t xml:space="preserve">Porter des gants de protection/des vêtements de protection/un équipement de protection des yeux/ du visage.</w:t>
      </w:r>
    </w:p>
    <w:p>
      <w:pPr>
        <w:numPr>
          <w:ilvl w:val="0"/>
          <w:numId w:val="1005"/>
        </w:numPr>
      </w:pPr>
      <w:r>
        <w:t xml:space="preserve">P308+P313</w:t>
      </w:r>
      <w:r>
        <w:t xml:space="preserve"> </w:t>
      </w:r>
      <w:r>
        <w:t xml:space="preserve">EN CAS d’exposition prouvée ou suspectée: consulter un médecin.</w:t>
      </w:r>
    </w:p>
    <w:p>
      <w:pPr>
        <w:numPr>
          <w:ilvl w:val="0"/>
          <w:numId w:val="1005"/>
        </w:numPr>
      </w:pPr>
      <w:r>
        <w:t xml:space="preserve">P314</w:t>
      </w:r>
      <w:r>
        <w:t xml:space="preserve"> </w:t>
      </w:r>
      <w:r>
        <w:t xml:space="preserve">Consulter un médecin en cas de malaise.</w:t>
      </w:r>
    </w:p>
    <w:p>
      <w:pPr>
        <w:numPr>
          <w:ilvl w:val="0"/>
          <w:numId w:val="1005"/>
        </w:numPr>
      </w:pPr>
      <w:r>
        <w:t xml:space="preserve">P739</w:t>
      </w:r>
      <w:r>
        <w:t xml:space="preserve"> </w:t>
      </w:r>
      <w:r>
        <w:t xml:space="preserve">P739</w:t>
      </w:r>
    </w:p>
    <w:p>
      <w:pPr>
        <w:pStyle w:val="FirstParagraph"/>
      </w:pPr>
      <w:r>
        <w:rPr>
          <w:b/>
          <w:bCs/>
        </w:rPr>
        <w:t xml:space="preserve">Transport</w:t>
      </w:r>
      <w:r>
        <w:t xml:space="preserve"> </w:t>
      </w:r>
      <w:r>
        <w:t xml:space="preserve">:</w:t>
      </w:r>
    </w:p>
    <w:p>
      <w:pPr>
        <w:pStyle w:val="Compact"/>
        <w:numPr>
          <w:ilvl w:val="0"/>
          <w:numId w:val="1006"/>
        </w:numPr>
      </w:pPr>
      <w:r>
        <w:t xml:space="preserve">ADR : 6.1</w:t>
      </w:r>
    </w:p>
    <w:p>
      <w:pPr>
        <w:pStyle w:val="Compact"/>
        <w:numPr>
          <w:ilvl w:val="0"/>
          <w:numId w:val="1006"/>
        </w:numPr>
      </w:pPr>
      <w:r>
        <w:t xml:space="preserve">RID : 6.1</w:t>
      </w:r>
    </w:p>
    <w:p>
      <w:pPr>
        <w:pStyle w:val="Compact"/>
        <w:numPr>
          <w:ilvl w:val="0"/>
          <w:numId w:val="1006"/>
        </w:numPr>
      </w:pPr>
      <w:r>
        <w:t xml:space="preserve">ADN : 6.1</w:t>
      </w:r>
    </w:p>
    <w:p>
      <w:pPr>
        <w:pStyle w:val="Compact"/>
        <w:numPr>
          <w:ilvl w:val="0"/>
          <w:numId w:val="1006"/>
        </w:numPr>
      </w:pPr>
      <w:r>
        <w:t xml:space="preserve">IMDG : 6.1</w:t>
      </w:r>
    </w:p>
    <w:p>
      <w:pPr>
        <w:pStyle w:val="Compact"/>
        <w:numPr>
          <w:ilvl w:val="0"/>
          <w:numId w:val="1006"/>
        </w:numPr>
      </w:pPr>
      <w:r>
        <w:t xml:space="preserve">IATA : 6.1</w:t>
      </w:r>
    </w:p>
    <w:p>
      <w:pPr>
        <w:pStyle w:val="Compact"/>
        <w:numPr>
          <w:ilvl w:val="0"/>
          <w:numId w:val="1006"/>
        </w:numPr>
      </w:pPr>
      <w:r>
        <w:t xml:space="preserve">UN : 1616</w:t>
      </w:r>
    </w:p>
    <w:bookmarkEnd w:id="36"/>
    <w:bookmarkStart w:id="37" w:name="Xda6f178de632779b007ca26fa4959a763d2c7f4"/>
    <w:p>
      <w:pPr>
        <w:pStyle w:val="Heading2"/>
      </w:pPr>
      <w:r>
        <w:t xml:space="preserve">Dangers et/ou mesures par voie d’exposition</w:t>
      </w:r>
    </w:p>
    <w:p>
      <w:pPr>
        <w:pStyle w:val="FirstParagraph"/>
      </w:pPr>
      <w:r>
        <w:t xml:space="preserve">skin : • Rincer la peau à l’eau (ou se doucher).</w:t>
      </w:r>
    </w:p>
    <w:p>
      <w:pPr>
        <w:pStyle w:val="BodyText"/>
      </w:pPr>
      <w:r>
        <w:t xml:space="preserve">eyes : • Rincer avec précaution à l’eau pendant plusieurs minutes.</w:t>
      </w:r>
      <w:r>
        <w:t xml:space="preserve"> </w:t>
      </w:r>
      <w:r>
        <w:t xml:space="preserve">• En cas de malaise ou de doute, consulter un médecin.</w:t>
      </w:r>
    </w:p>
    <w:p>
      <w:pPr>
        <w:pStyle w:val="BodyText"/>
      </w:pPr>
      <w:r>
        <w:t xml:space="preserve">ingestion : • En cas d’accident ou de malaise, consulter immédiatement un médecin (si possible lui montrer l’étiquette).</w:t>
      </w:r>
    </w:p>
    <w:p>
      <w:pPr>
        <w:pStyle w:val="BodyText"/>
      </w:pPr>
      <w:r>
        <w:t xml:space="preserve">inhalation : • Fournir de l’air frais.</w:t>
      </w:r>
      <w:r>
        <w:t xml:space="preserve"> </w:t>
      </w:r>
      <w:r>
        <w:t xml:space="preserve">• En cas de malaise ou de doute, consulter un médecin.</w:t>
      </w:r>
    </w:p>
    <w:p>
      <w:r>
        <w:br w:type="page"/>
      </w:r>
    </w:p>
    <w:bookmarkEnd w:id="37"/>
    <w:bookmarkStart w:id="51" w:name="Xd3fd47f9279b52cc9d4b00e07bdfde0bea6594f"/>
    <w:p>
      <w:pPr>
        <w:pStyle w:val="Heading2"/>
      </w:pPr>
      <w:r>
        <w:t xml:space="preserve">Informations relatives aux substances dangereuses présentes</w:t>
      </w:r>
    </w:p>
    <w:bookmarkStart w:id="39" w:name="leadii-acetate-trihydrate"/>
    <w:p>
      <w:pPr>
        <w:pStyle w:val="Heading3"/>
      </w:pPr>
      <w:r>
        <w:t xml:space="preserve">Lead(II) acetate trihydrate</w:t>
      </w:r>
    </w:p>
    <w:p>
      <w:pPr>
        <w:pStyle w:val="FirstParagraph"/>
      </w:pPr>
      <w:r>
        <w:rPr>
          <w:b/>
          <w:bCs/>
        </w:rPr>
        <w:t xml:space="preserve">Identification</w:t>
      </w:r>
    </w:p>
    <w:p>
      <w:pPr>
        <w:pStyle w:val="Compact"/>
        <w:numPr>
          <w:ilvl w:val="0"/>
          <w:numId w:val="1007"/>
        </w:numPr>
      </w:pPr>
      <w:r>
        <w:t xml:space="preserve">N° CAS : 6080-56-4</w:t>
      </w:r>
    </w:p>
    <w:p>
      <w:pPr>
        <w:pStyle w:val="Compact"/>
        <w:numPr>
          <w:ilvl w:val="0"/>
          <w:numId w:val="1007"/>
        </w:numPr>
      </w:pPr>
      <w:r>
        <w:t xml:space="preserve">N° EINECS : 612-031-2</w:t>
      </w:r>
    </w:p>
    <w:p>
      <w:pPr>
        <w:pStyle w:val="FirstParagraph"/>
      </w:pPr>
      <w:r>
        <w:rPr>
          <w:b/>
          <w:bCs/>
        </w:rPr>
        <w:t xml:space="preserve">Concentration</w:t>
      </w:r>
      <w:r>
        <w:t xml:space="preserve"> </w:t>
      </w:r>
      <w:r>
        <w:t xml:space="preserve">:greater or equal to 99.5</w:t>
      </w:r>
    </w:p>
    <w:p>
      <w:pPr>
        <w:pStyle w:val="BodyText"/>
      </w:pPr>
      <w:r>
        <w:rPr>
          <w:b/>
          <w:bCs/>
        </w:rPr>
        <w:t xml:space="preserve">Dangers</w:t>
      </w:r>
      <w:r>
        <w:t xml:space="preserve"> </w:t>
      </w:r>
      <w:r>
        <w:t xml:space="preserve">:</w:t>
      </w:r>
    </w:p>
    <w:p>
      <w:pPr>
        <w:numPr>
          <w:ilvl w:val="0"/>
          <w:numId w:val="1008"/>
        </w:numPr>
      </w:pPr>
      <w:r>
        <w:t xml:space="preserve">H280</w:t>
      </w:r>
      <w:r>
        <w:t xml:space="preserve"> </w:t>
      </w:r>
      <w:r>
        <w:t xml:space="preserve">Contient un gaz sous pression; peut exploser sous l’effet de la chaleur.</w:t>
      </w:r>
    </w:p>
    <w:p>
      <w:pPr>
        <w:numPr>
          <w:ilvl w:val="0"/>
          <w:numId w:val="1008"/>
        </w:numPr>
      </w:pPr>
      <w:r>
        <w:t xml:space="preserve">H302</w:t>
      </w:r>
      <w:r>
        <w:t xml:space="preserve"> </w:t>
      </w:r>
      <w:r>
        <w:t xml:space="preserve">Nocif en cas d’ingestion.</w:t>
      </w:r>
    </w:p>
    <w:p>
      <w:pPr>
        <w:numPr>
          <w:ilvl w:val="0"/>
          <w:numId w:val="1008"/>
        </w:numPr>
      </w:pPr>
      <w:r>
        <w:t xml:space="preserve">H332</w:t>
      </w:r>
      <w:r>
        <w:t xml:space="preserve"> </w:t>
      </w:r>
      <w:r>
        <w:t xml:space="preserve">Nocif par inhalation.</w:t>
      </w:r>
    </w:p>
    <w:p>
      <w:pPr>
        <w:numPr>
          <w:ilvl w:val="0"/>
          <w:numId w:val="1008"/>
        </w:numPr>
      </w:pPr>
      <w:r>
        <w:t xml:space="preserve">H373**</w:t>
      </w:r>
      <w:r>
        <w:t xml:space="preserve"> </w:t>
      </w:r>
      <w:r>
        <w:t xml:space="preserve">Risque présumé d’effets graves pour les organes à la suite d’expositions répétées ou d’une exposition prolongée.</w:t>
      </w:r>
    </w:p>
    <w:p>
      <w:pPr>
        <w:numPr>
          <w:ilvl w:val="0"/>
          <w:numId w:val="1008"/>
        </w:numPr>
      </w:pPr>
      <w:r>
        <w:t xml:space="preserve">H400</w:t>
      </w:r>
      <w:r>
        <w:t xml:space="preserve"> </w:t>
      </w:r>
      <w:r>
        <w:t xml:space="preserve">Très toxique pour les organismes aquatiques.</w:t>
      </w:r>
    </w:p>
    <w:p>
      <w:pPr>
        <w:numPr>
          <w:ilvl w:val="0"/>
          <w:numId w:val="1008"/>
        </w:numPr>
      </w:pPr>
      <w:r>
        <w:t xml:space="preserve">H410</w:t>
      </w:r>
      <w:r>
        <w:t xml:space="preserve"> </w:t>
      </w:r>
      <w:r>
        <w:t xml:space="preserve">Très toxique pour les organismes aquatiques, entraîne des effets néfastes à long terme.</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38" w:name="propriétés"/>
    <w:p>
      <w:pPr>
        <w:pStyle w:val="Heading4"/>
      </w:pPr>
      <w:r>
        <w:t xml:space="preserve">Propriétés</w:t>
      </w:r>
    </w:p>
    <w:p>
      <w:pPr>
        <w:pStyle w:val="FirstParagraph"/>
      </w:pPr>
      <w:r>
        <w:t xml:space="preserve">Pas d’informations disponible.</w:t>
      </w:r>
    </w:p>
    <w:bookmarkEnd w:id="38"/>
    <w:bookmarkEnd w:id="39"/>
    <w:bookmarkStart w:id="50" w:name="plombii-acétate-trihydraté"/>
    <w:p>
      <w:pPr>
        <w:pStyle w:val="Heading3"/>
      </w:pPr>
      <w:r>
        <w:t xml:space="preserve">Plomb(II) acétate trihydraté</w:t>
      </w:r>
    </w:p>
    <w:p>
      <w:pPr>
        <w:pStyle w:val="FirstParagraph"/>
      </w:pPr>
      <w:r>
        <w:rPr>
          <w:b/>
          <w:bCs/>
        </w:rPr>
        <w:t xml:space="preserve">Identification</w:t>
      </w:r>
    </w:p>
    <w:p>
      <w:pPr>
        <w:pStyle w:val="Compact"/>
        <w:numPr>
          <w:ilvl w:val="0"/>
          <w:numId w:val="1009"/>
        </w:numPr>
      </w:pPr>
      <w:r>
        <w:t xml:space="preserve">N° CAS : 301-04-2</w:t>
      </w:r>
    </w:p>
    <w:p>
      <w:pPr>
        <w:pStyle w:val="Compact"/>
        <w:numPr>
          <w:ilvl w:val="0"/>
          <w:numId w:val="1009"/>
        </w:numPr>
      </w:pPr>
      <w:r>
        <w:t xml:space="preserve">N° EINECS : 206-104-4</w:t>
      </w:r>
    </w:p>
    <w:p>
      <w:pPr>
        <w:pStyle w:val="FirstParagraph"/>
      </w:pPr>
      <w:r>
        <w:rPr>
          <w:b/>
          <w:bCs/>
        </w:rPr>
        <w:t xml:space="preserve">Concentration</w:t>
      </w:r>
      <w:r>
        <w:t xml:space="preserve"> </w:t>
      </w:r>
      <w:r>
        <w:t xml:space="preserve">:Unbounded range</w:t>
      </w:r>
    </w:p>
    <w:p>
      <w:pPr>
        <w:pStyle w:val="BodyText"/>
      </w:pPr>
      <w:r>
        <w:rPr>
          <w:b/>
          <w:bCs/>
        </w:rPr>
        <w:t xml:space="preserve">Dangers</w:t>
      </w:r>
      <w:r>
        <w:t xml:space="preserve"> </w:t>
      </w:r>
      <w:r>
        <w:t xml:space="preserve">:</w:t>
      </w:r>
    </w:p>
    <w:p>
      <w:pPr>
        <w:numPr>
          <w:ilvl w:val="0"/>
          <w:numId w:val="1010"/>
        </w:numPr>
      </w:pPr>
      <w:r>
        <w:t xml:space="preserve">H373**</w:t>
      </w:r>
      <w:r>
        <w:t xml:space="preserve"> </w:t>
      </w:r>
      <w:r>
        <w:t xml:space="preserve">Risque présumé d’effets graves pour les organes à la suite d’expositions répétées ou d’une exposition prolongée.</w:t>
      </w:r>
    </w:p>
    <w:p>
      <w:pPr>
        <w:numPr>
          <w:ilvl w:val="0"/>
          <w:numId w:val="1010"/>
        </w:numPr>
      </w:pPr>
      <w:r>
        <w:t xml:space="preserve">H400</w:t>
      </w:r>
      <w:r>
        <w:t xml:space="preserve"> </w:t>
      </w:r>
      <w:r>
        <w:t xml:space="preserve">Très toxique pour les organismes aquatiques.</w:t>
      </w:r>
    </w:p>
    <w:p>
      <w:pPr>
        <w:numPr>
          <w:ilvl w:val="0"/>
          <w:numId w:val="1010"/>
        </w:numPr>
      </w:pPr>
      <w:r>
        <w:t xml:space="preserve">H410</w:t>
      </w:r>
      <w:r>
        <w:t xml:space="preserve"> </w:t>
      </w:r>
      <w:r>
        <w:t xml:space="preserve">Très toxique pour les organismes aquatiques, entraîne des effets néfastes à long terme.</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49" w:name="propriétés-1"/>
    <w:p>
      <w:pPr>
        <w:pStyle w:val="Heading4"/>
      </w:pPr>
      <w:r>
        <w:t xml:space="preserve">Propriétés</w:t>
      </w:r>
    </w:p>
    <w:p>
      <w:pPr>
        <w:pStyle w:val="FirstParagraph"/>
      </w:pPr>
      <w:hyperlink r:id="rId40">
        <w:r>
          <w:rPr>
            <w:rStyle w:val="Hyperlink"/>
            <w:color w:val="0856A0"/>
            <w:u w:val="single"/>
          </w:rPr>
          <w:t xml:space="preserve">FICHEJanvier 2025Fiche n°59 - Plomb et composés minérauxFiche présentant l’essentiel des données d’hygiène et de sécurité relatives à« Plomb et composés minéraux »avec un rappel de la réglementation française et des recommandations techniques et médicales.En savoir plus</w:t>
        </w:r>
      </w:hyperlink>
    </w:p>
    <w:p>
      <w:pPr>
        <w:numPr>
          <w:ilvl w:val="0"/>
          <w:numId w:val="1011"/>
        </w:numPr>
      </w:pPr>
      <w:hyperlink r:id="rId41">
        <w:r>
          <w:rPr>
            <w:rStyle w:val="Hyperlink"/>
            <w:color w:val="0856A0"/>
            <w:u w:val="single"/>
          </w:rPr>
          <w:t xml:space="preserve">Généralités</w:t>
        </w:r>
      </w:hyperlink>
    </w:p>
    <w:p>
      <w:pPr>
        <w:numPr>
          <w:ilvl w:val="0"/>
          <w:numId w:val="1011"/>
        </w:numPr>
      </w:pPr>
      <w:hyperlink r:id="rId42">
        <w:r>
          <w:rPr>
            <w:rStyle w:val="Hyperlink"/>
            <w:color w:val="0856A0"/>
            <w:u w:val="single"/>
          </w:rPr>
          <w:t xml:space="preserve">Caractéristiques</w:t>
        </w:r>
      </w:hyperlink>
    </w:p>
    <w:p>
      <w:pPr>
        <w:numPr>
          <w:ilvl w:val="0"/>
          <w:numId w:val="1011"/>
        </w:numPr>
      </w:pPr>
      <w:hyperlink r:id="rId43">
        <w:r>
          <w:rPr>
            <w:rStyle w:val="Hyperlink"/>
            <w:color w:val="0856A0"/>
            <w:u w:val="single"/>
          </w:rPr>
          <w:t xml:space="preserve">VLEPMesurage</w:t>
        </w:r>
      </w:hyperlink>
    </w:p>
    <w:p>
      <w:pPr>
        <w:numPr>
          <w:ilvl w:val="0"/>
          <w:numId w:val="1011"/>
        </w:numPr>
      </w:pPr>
      <w:hyperlink r:id="rId44">
        <w:r>
          <w:rPr>
            <w:rStyle w:val="Hyperlink"/>
            <w:color w:val="0856A0"/>
            <w:u w:val="single"/>
          </w:rPr>
          <w:t xml:space="preserve">Incendie - Explosion[34-36]</w:t>
        </w:r>
      </w:hyperlink>
    </w:p>
    <w:p>
      <w:pPr>
        <w:numPr>
          <w:ilvl w:val="0"/>
          <w:numId w:val="1011"/>
        </w:numPr>
      </w:pPr>
      <w:hyperlink r:id="rId45">
        <w:r>
          <w:rPr>
            <w:rStyle w:val="Hyperlink"/>
            <w:color w:val="0856A0"/>
            <w:u w:val="single"/>
          </w:rPr>
          <w:t xml:space="preserve">Pathologie - Toxicologie</w:t>
        </w:r>
      </w:hyperlink>
    </w:p>
    <w:p>
      <w:pPr>
        <w:numPr>
          <w:ilvl w:val="0"/>
          <w:numId w:val="1011"/>
        </w:numPr>
      </w:pPr>
      <w:hyperlink r:id="rId46">
        <w:r>
          <w:rPr>
            <w:rStyle w:val="Hyperlink"/>
            <w:color w:val="0856A0"/>
            <w:u w:val="single"/>
          </w:rPr>
          <w:t xml:space="preserve">Règlementation</w:t>
        </w:r>
      </w:hyperlink>
    </w:p>
    <w:p>
      <w:pPr>
        <w:numPr>
          <w:ilvl w:val="0"/>
          <w:numId w:val="1011"/>
        </w:numPr>
      </w:pPr>
      <w:hyperlink r:id="rId47">
        <w:r>
          <w:rPr>
            <w:rStyle w:val="Hyperlink"/>
            <w:color w:val="0856A0"/>
            <w:u w:val="single"/>
          </w:rPr>
          <w:t xml:space="preserve">Recommandations</w:t>
        </w:r>
      </w:hyperlink>
    </w:p>
    <w:p>
      <w:pPr>
        <w:numPr>
          <w:ilvl w:val="0"/>
          <w:numId w:val="1011"/>
        </w:numPr>
      </w:pPr>
      <w:hyperlink r:id="rId48">
        <w:r>
          <w:rPr>
            <w:rStyle w:val="Hyperlink"/>
            <w:color w:val="0856A0"/>
            <w:u w:val="single"/>
          </w:rPr>
          <w:t xml:space="preserve">Bibliographie</w:t>
        </w:r>
      </w:hyperlink>
    </w:p>
    <w:bookmarkEnd w:id="49"/>
    <w:bookmarkEnd w:id="50"/>
    <w:bookmarkEnd w:id="51"/>
    <w:bookmarkStart w:id="52" w:name="X45ad37046213581a41a58cd8a8dba04c2f3aa9c"/>
    <w:p>
      <w:pPr>
        <w:pStyle w:val="Heading2"/>
      </w:pPr>
      <w:r>
        <w:t xml:space="preserve">Protections individuelles et collectives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202"/>
        <w:gridCol w:w="3717"/>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Mains</w:t>
            </w:r>
          </w:p>
        </w:tc>
        <w:tc>
          <w:tcPr/>
          <w:p>
            <w:pPr>
              <w:pStyle w:val="Compact"/>
              <w:rPr>
                <w:sz w:val="20"/>
                <w:szCs w:val="20"/>
              </w:rPr>
            </w:pPr>
            <w:r>
              <w:rPr>
                <w:sz w:val="20"/>
                <w:szCs w:val="20"/>
              </w:rPr>
              <w:t xml:space="preserve">Gants de protection chimique • Norme : EN 374 (protection contre les substances chimiques)</w:t>
            </w:r>
            <w:r>
              <w:rPr>
                <w:sz w:val="20"/>
                <w:szCs w:val="20"/>
              </w:rPr>
              <w:t xml:space="preserve"> </w:t>
            </w:r>
            <w:r>
              <w:rPr>
                <w:sz w:val="20"/>
                <w:szCs w:val="20"/>
              </w:rPr>
              <w:t xml:space="preserve">• Matériau : NBR (caoutchouc nitrile)</w:t>
            </w:r>
            <w:r>
              <w:rPr>
                <w:sz w:val="20"/>
                <w:szCs w:val="20"/>
              </w:rPr>
              <w:t xml:space="preserve"> </w:t>
            </w:r>
            <w:r>
              <w:rPr>
                <w:sz w:val="20"/>
                <w:szCs w:val="20"/>
              </w:rPr>
              <w:t xml:space="preserve">• Épaisseur : &gt; 0,11 mm</w:t>
            </w:r>
            <w:r>
              <w:rPr>
                <w:sz w:val="20"/>
                <w:szCs w:val="20"/>
              </w:rPr>
              <w:t xml:space="preserve"> </w:t>
            </w:r>
            <w:r>
              <w:rPr>
                <w:sz w:val="20"/>
                <w:szCs w:val="20"/>
              </w:rPr>
              <w:t xml:space="preserve">• Temps de rupture/perçage (permeation : niveau 6) : &gt; 480 min (approximatif à 22 °C, contact permanent)</w:t>
            </w:r>
            <w:r>
              <w:rPr>
                <w:sz w:val="20"/>
                <w:szCs w:val="20"/>
              </w:rPr>
              <w:t xml:space="preserve"> </w:t>
            </w:r>
            <w:r>
              <w:rPr>
                <w:sz w:val="20"/>
                <w:szCs w:val="20"/>
              </w:rPr>
              <w:t xml:space="preserve">• Remarque : Le temps de passage est doublé si l’épaisseur est ~ 1,5 fois supérieure, et réduit de moitié si elle est ~ 1,5 fois inférieure.</w:t>
            </w:r>
          </w:p>
        </w:tc>
      </w:tr>
      <w:tr>
        <w:tc>
          <w:tcPr/>
          <w:p>
            <w:pPr>
              <w:pStyle w:val="Compact"/>
              <w:rPr>
                <w:sz w:val="20"/>
                <w:szCs w:val="20"/>
              </w:rPr>
            </w:pPr>
            <w:r>
              <w:rPr>
                <w:sz w:val="20"/>
                <w:szCs w:val="20"/>
              </w:rPr>
              <w:t xml:space="preserve">Yeux</w:t>
            </w:r>
          </w:p>
        </w:tc>
        <w:tc>
          <w:tcPr/>
          <w:p>
            <w:pPr>
              <w:pStyle w:val="Compact"/>
              <w:rPr>
                <w:sz w:val="20"/>
                <w:szCs w:val="20"/>
              </w:rPr>
            </w:pPr>
            <w:r>
              <w:rPr>
                <w:sz w:val="20"/>
                <w:szCs w:val="20"/>
              </w:rPr>
              <w:t xml:space="preserve">Lunettes de protection • Protection sur les côtés (visière)</w:t>
            </w:r>
            <w:r>
              <w:rPr>
                <w:sz w:val="20"/>
                <w:szCs w:val="20"/>
              </w:rPr>
              <w:t xml:space="preserve"> </w:t>
            </w:r>
            <w:r>
              <w:rPr>
                <w:sz w:val="20"/>
                <w:szCs w:val="20"/>
              </w:rPr>
              <w:t xml:space="preserve">• Conforme aux exigences de protection des yeux/du visage</w:t>
            </w:r>
          </w:p>
        </w:tc>
      </w:tr>
      <w:tr>
        <w:tc>
          <w:tcPr/>
          <w:p>
            <w:pPr>
              <w:pStyle w:val="Compact"/>
              <w:rPr>
                <w:sz w:val="20"/>
                <w:szCs w:val="20"/>
              </w:rPr>
            </w:pPr>
            <w:r>
              <w:rPr>
                <w:sz w:val="20"/>
                <w:szCs w:val="20"/>
              </w:rPr>
              <w:t xml:space="preserve">Peau</w:t>
            </w:r>
          </w:p>
        </w:tc>
        <w:tc>
          <w:tcPr/>
          <w:p>
            <w:pPr>
              <w:pStyle w:val="Compact"/>
              <w:rPr>
                <w:sz w:val="20"/>
                <w:szCs w:val="20"/>
              </w:rPr>
            </w:pPr>
            <w:r>
              <w:rPr>
                <w:sz w:val="20"/>
                <w:szCs w:val="20"/>
              </w:rPr>
              <w:t xml:space="preserve">Gants de protection chimique • Norme : EN 374 (protection contre les substances chimiques)</w:t>
            </w:r>
            <w:r>
              <w:rPr>
                <w:sz w:val="20"/>
                <w:szCs w:val="20"/>
              </w:rPr>
              <w:t xml:space="preserve"> </w:t>
            </w:r>
            <w:r>
              <w:rPr>
                <w:sz w:val="20"/>
                <w:szCs w:val="20"/>
              </w:rPr>
              <w:t xml:space="preserve">• Matériau : NBR (caoutchouc nitrile)</w:t>
            </w:r>
            <w:r>
              <w:rPr>
                <w:sz w:val="20"/>
                <w:szCs w:val="20"/>
              </w:rPr>
              <w:t xml:space="preserve"> </w:t>
            </w:r>
            <w:r>
              <w:rPr>
                <w:sz w:val="20"/>
                <w:szCs w:val="20"/>
              </w:rPr>
              <w:t xml:space="preserve">• Épaisseur : &gt; 0,11 mm</w:t>
            </w:r>
            <w:r>
              <w:rPr>
                <w:sz w:val="20"/>
                <w:szCs w:val="20"/>
              </w:rPr>
              <w:t xml:space="preserve"> </w:t>
            </w:r>
            <w:r>
              <w:rPr>
                <w:sz w:val="20"/>
                <w:szCs w:val="20"/>
              </w:rPr>
              <w:t xml:space="preserve">• Temps de rupture/perçage (permeation : niveau 6) : &gt; 480 min (approximatif à 22 °C, contact permanent)</w:t>
            </w:r>
            <w:r>
              <w:rPr>
                <w:sz w:val="20"/>
                <w:szCs w:val="20"/>
              </w:rPr>
              <w:t xml:space="preserve"> </w:t>
            </w:r>
            <w:r>
              <w:rPr>
                <w:sz w:val="20"/>
                <w:szCs w:val="20"/>
              </w:rPr>
              <w:t xml:space="preserve">• Remarque : Le temps de passage est doublé si l’épaisseur est ~ 1,5 fois supérieure, et réduit de moitié si elle est ~ 1,5 fois inférieure.</w:t>
            </w:r>
          </w:p>
        </w:tc>
      </w:tr>
      <w:tr>
        <w:tc>
          <w:tcPr/>
          <w:p>
            <w:pPr>
              <w:pStyle w:val="Compact"/>
              <w:rPr>
                <w:sz w:val="20"/>
                <w:szCs w:val="20"/>
              </w:rPr>
            </w:pPr>
            <w:r>
              <w:rPr>
                <w:sz w:val="20"/>
                <w:szCs w:val="20"/>
              </w:rPr>
              <w:t xml:space="preserve">Système respiratoire</w:t>
            </w:r>
          </w:p>
        </w:tc>
        <w:tc>
          <w:tcPr/>
          <w:p>
            <w:pPr>
              <w:pStyle w:val="Compact"/>
              <w:rPr>
                <w:sz w:val="20"/>
                <w:szCs w:val="20"/>
              </w:rPr>
            </w:pPr>
            <w:r>
              <w:rPr>
                <w:sz w:val="20"/>
                <w:szCs w:val="20"/>
              </w:rPr>
              <w:t xml:space="preserve">Masques respiratoires / filtres • Filtre à particules (EN 143)</w:t>
            </w:r>
            <w:r>
              <w:rPr>
                <w:sz w:val="20"/>
                <w:szCs w:val="20"/>
              </w:rPr>
              <w:t xml:space="preserve"> </w:t>
            </w:r>
            <w:r>
              <w:rPr>
                <w:sz w:val="20"/>
                <w:szCs w:val="20"/>
              </w:rPr>
              <w:t xml:space="preserve">• Type : P2 (filtre au moins 94 % des particules atmosphériques)</w:t>
            </w:r>
            <w:r>
              <w:rPr>
                <w:sz w:val="20"/>
                <w:szCs w:val="20"/>
              </w:rPr>
              <w:t xml:space="preserve"> </w:t>
            </w:r>
            <w:r>
              <w:rPr>
                <w:sz w:val="20"/>
                <w:szCs w:val="20"/>
              </w:rPr>
              <w:t xml:space="preserve">• Code couleur : blanc</w:t>
            </w:r>
          </w:p>
        </w:tc>
      </w:tr>
      <w:tr>
        <w:tc>
          <w:tcPr/>
          <w:p>
            <w:pPr>
              <w:pStyle w:val="Compact"/>
              <w:rPr>
                <w:sz w:val="20"/>
                <w:szCs w:val="20"/>
              </w:rPr>
            </w:pPr>
            <w:r>
              <w:rPr>
                <w:sz w:val="20"/>
                <w:szCs w:val="20"/>
              </w:rPr>
              <w:t xml:space="preserve">Corps</w:t>
            </w:r>
          </w:p>
        </w:tc>
        <w:tc>
          <w:tcPr/>
          <w:p>
            <w:pPr>
              <w:pStyle w:val="Compact"/>
              <w:rPr>
                <w:sz w:val="20"/>
                <w:szCs w:val="20"/>
              </w:rPr>
            </w:pPr>
            <w:r>
              <w:rPr>
                <w:sz w:val="20"/>
                <w:szCs w:val="20"/>
              </w:rPr>
              <w:t xml:space="preserve">Vêtements de protection / combinaisons • Pas de détails spécifiques fournis dans le texte.</w:t>
            </w:r>
          </w:p>
        </w:tc>
      </w:tr>
    </w:tbl>
    <w:bookmarkEnd w:id="52"/>
    <w:bookmarkStart w:id="53" w:name="Xc141b1b6429233fc1a5306592e7c0023f190cfe"/>
    <w:p>
      <w:pPr>
        <w:pStyle w:val="Heading2"/>
      </w:pPr>
      <w:r>
        <w:t xml:space="preserve">Conditions de stockage et de manipulation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009"/>
        <w:gridCol w:w="491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Précautions à prendre pour une manipulation sans danger</w:t>
            </w:r>
          </w:p>
        </w:tc>
        <w:tc>
          <w:tcPr/>
          <w:p>
            <w:pPr>
              <w:pStyle w:val="Compact"/>
              <w:rPr>
                <w:sz w:val="20"/>
                <w:szCs w:val="20"/>
              </w:rPr>
            </w:pPr>
            <w:r>
              <w:rPr>
                <w:sz w:val="20"/>
                <w:szCs w:val="20"/>
              </w:rPr>
              <w:t xml:space="preserve">- Utiliser un échappement (hot‑cell ou laboratoire) ; - Éviter toute exposition directe ; - Éviter la formation de poussières ; - Porter l’équipement de protection individuel requis : gants appropriés (norme EN 374), lunettes ou masque de protection avec protection latérale ; - Ne pas respirer les poussières et éviter tout contact avec la peau, les yeux et les vêtements.</w:t>
            </w:r>
          </w:p>
        </w:tc>
      </w:tr>
      <w:tr>
        <w:tc>
          <w:tcPr/>
          <w:p>
            <w:pPr>
              <w:pStyle w:val="Compact"/>
              <w:rPr>
                <w:sz w:val="20"/>
                <w:szCs w:val="20"/>
              </w:rPr>
            </w:pPr>
            <w:r>
              <w:rPr>
                <w:sz w:val="20"/>
                <w:szCs w:val="20"/>
              </w:rPr>
              <w:t xml:space="preserve">Conditions d’un stockage sûr, y compris d’éventuelles incompatibilités</w:t>
            </w:r>
          </w:p>
        </w:tc>
        <w:tc>
          <w:tcPr/>
          <w:p>
            <w:pPr>
              <w:pStyle w:val="Compact"/>
              <w:rPr>
                <w:sz w:val="20"/>
                <w:szCs w:val="20"/>
              </w:rPr>
            </w:pPr>
            <w:r>
              <w:rPr>
                <w:sz w:val="20"/>
                <w:szCs w:val="20"/>
              </w:rPr>
              <w:t xml:space="preserve">Conditions de stockage sûr : - Stocker dans un endroit sec. - Utiliser une ventilation locale et générale. - Température de stockage recommandée : 15 – 25 °C. - Conserver à l’écart de la chaleur (décomposition à partir de 200 °C). Incompatibilités potentielles : - À éviter : comburant puissant, base forte, bromates, phénol, acide fort. - Matières incompatibles : fer, acier. - Observez le stockage compatible de produits chimiques (voir TRGS 510).</w:t>
            </w:r>
          </w:p>
        </w:tc>
      </w:tr>
      <w:tr>
        <w:tc>
          <w:tcPr/>
          <w:p>
            <w:pPr>
              <w:pStyle w:val="Compact"/>
              <w:rPr>
                <w:sz w:val="20"/>
                <w:szCs w:val="20"/>
              </w:rPr>
            </w:pPr>
            <w:r>
              <w:rPr>
                <w:sz w:val="20"/>
                <w:szCs w:val="20"/>
              </w:rPr>
              <w:t xml:space="preserve">Utilisation(s) finale(s) particulière(s)</w:t>
            </w:r>
          </w:p>
        </w:tc>
        <w:tc>
          <w:tcPr/>
          <w:p>
            <w:pPr>
              <w:pStyle w:val="Compact"/>
              <w:rPr>
                <w:sz w:val="20"/>
                <w:szCs w:val="20"/>
              </w:rPr>
            </w:pPr>
            <w:r>
              <w:rPr>
                <w:sz w:val="20"/>
                <w:szCs w:val="20"/>
              </w:rPr>
              <w:t xml:space="preserve">Utilisations identifiées pertinentes : substance chimique de laboratoire, utilisation en laboratoire et à des fins d’analyse.</w:t>
            </w:r>
          </w:p>
        </w:tc>
      </w:tr>
    </w:tbl>
    <w:bookmarkEnd w:id="53"/>
    <w:bookmarkEnd w:id="54"/>
    <w:sectPr w:rsidR="00E0006B">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1B169FA4"/>
    <w:lvl w:ilvl="0">
      <w:numFmt w:val="bullet"/>
      <w:lvlText w:val=" "/>
      <w:lvlJc w:val="left"/>
      <w:pPr>
        <w:ind w:hanging="360" w:left="720"/>
      </w:pPr>
    </w:lvl>
    <w:lvl w:ilvl="1">
      <w:numFmt w:val="bullet"/>
      <w:lvlText w:val=" "/>
      <w:lvlJc w:val="left"/>
      <w:pPr>
        <w:ind w:hanging="360" w:left="1440"/>
      </w:pPr>
    </w:lvl>
    <w:lvl w:ilvl="2">
      <w:numFmt w:val="bullet"/>
      <w:lvlText w:val=" "/>
      <w:lvlJc w:val="left"/>
      <w:pPr>
        <w:ind w:hanging="360" w:left="2160"/>
      </w:pPr>
    </w:lvl>
    <w:lvl w:ilvl="3">
      <w:numFmt w:val="bullet"/>
      <w:lvlText w:val=" "/>
      <w:lvlJc w:val="left"/>
      <w:pPr>
        <w:ind w:hanging="360" w:left="2880"/>
      </w:pPr>
    </w:lvl>
    <w:lvl w:ilvl="4">
      <w:numFmt w:val="bullet"/>
      <w:lvlText w:val=" "/>
      <w:lvlJc w:val="left"/>
      <w:pPr>
        <w:ind w:hanging="360" w:left="3600"/>
      </w:pPr>
    </w:lvl>
    <w:lvl w:ilvl="5">
      <w:numFmt w:val="bullet"/>
      <w:lvlText w:val=" "/>
      <w:lvlJc w:val="left"/>
      <w:pPr>
        <w:ind w:hanging="360" w:left="4320"/>
      </w:pPr>
    </w:lvl>
    <w:lvl w:ilvl="6">
      <w:numFmt w:val="bullet"/>
      <w:lvlText w:val=" "/>
      <w:lvlJc w:val="left"/>
      <w:pPr>
        <w:ind w:hanging="360" w:left="5040"/>
      </w:pPr>
    </w:lvl>
    <w:lvl w:ilvl="7">
      <w:numFmt w:val="bullet"/>
      <w:lvlText w:val=" "/>
      <w:lvlJc w:val="left"/>
      <w:pPr>
        <w:ind w:hanging="360" w:left="5760"/>
      </w:pPr>
    </w:lvl>
    <w:lvl w:ilvl="8">
      <w:numFmt w:val="bullet"/>
      <w:lvlText w:val=" "/>
      <w:lvlJc w:val="left"/>
      <w:pPr>
        <w:ind w:hanging="360" w:left="6480"/>
      </w:pPr>
    </w:lvl>
  </w:abstractNum>
  <w:abstractNum w15:restartNumberingAfterBreak="0" w:abstractNumId="1">
    <w:nsid w:val="0000A991"/>
    <w:multiLevelType w:val="multilevel"/>
    <w:tmpl w:val="1892DF90"/>
    <w:lvl w:ilvl="0">
      <w:numFmt w:val="bullet"/>
      <w:lvlText w:val=""/>
      <w:lvlJc w:val="left"/>
      <w:pPr>
        <w:ind w:hanging="360" w:left="720"/>
      </w:pPr>
      <w:rPr>
        <w:rFonts w:ascii="Symbol" w:cs="Symbol" w:hAnsi="Symbol" w:hint="default"/>
      </w:rPr>
    </w:lvl>
    <w:lvl w:ilvl="1">
      <w:numFmt w:val="bullet"/>
      <w:lvlText w:val="o"/>
      <w:lvlJc w:val="left"/>
      <w:pPr>
        <w:ind w:hanging="360" w:left="1440"/>
      </w:pPr>
      <w:rPr>
        <w:rFonts w:ascii="Courier New" w:cs="Courier New" w:hAnsi="Courier New" w:hint="default"/>
      </w:rPr>
    </w:lvl>
    <w:lvl w:ilvl="2">
      <w:numFmt w:val="bullet"/>
      <w:lvlText w:val=""/>
      <w:lvlJc w:val="left"/>
      <w:pPr>
        <w:ind w:hanging="360" w:left="2160"/>
      </w:pPr>
      <w:rPr>
        <w:rFonts w:ascii="Wingdings" w:cs="Wingdings" w:hAnsi="Wingdings" w:hint="default"/>
      </w:rPr>
    </w:lvl>
    <w:lvl w:ilvl="3">
      <w:numFmt w:val="bullet"/>
      <w:lvlText w:val=""/>
      <w:lvlJc w:val="left"/>
      <w:pPr>
        <w:ind w:hanging="360" w:left="2880"/>
      </w:pPr>
      <w:rPr>
        <w:rFonts w:ascii="Symbol" w:cs="Symbol" w:hAnsi="Symbol" w:hint="default"/>
      </w:rPr>
    </w:lvl>
    <w:lvl w:ilvl="4">
      <w:numFmt w:val="bullet"/>
      <w:lvlText w:val="o"/>
      <w:lvlJc w:val="left"/>
      <w:pPr>
        <w:ind w:hanging="360" w:left="3600"/>
      </w:pPr>
      <w:rPr>
        <w:rFonts w:ascii="Courier New" w:cs="Courier New" w:hAnsi="Courier New" w:hint="default"/>
      </w:rPr>
    </w:lvl>
    <w:lvl w:ilvl="5">
      <w:numFmt w:val="bullet"/>
      <w:lvlText w:val=""/>
      <w:lvlJc w:val="left"/>
      <w:pPr>
        <w:ind w:hanging="360" w:left="4320"/>
      </w:pPr>
      <w:rPr>
        <w:rFonts w:ascii="Wingdings" w:cs="Wingdings" w:hAnsi="Wingdings" w:hint="default"/>
      </w:rPr>
    </w:lvl>
    <w:lvl w:ilvl="6">
      <w:numFmt w:val="bullet"/>
      <w:lvlText w:val=""/>
      <w:lvlJc w:val="left"/>
      <w:pPr>
        <w:ind w:hanging="360" w:left="5040"/>
      </w:pPr>
      <w:rPr>
        <w:rFonts w:ascii="Symbol" w:cs="Symbol" w:hAnsi="Symbol" w:hint="default"/>
      </w:rPr>
    </w:lvl>
    <w:lvl w:ilvl="7">
      <w:numFmt w:val="bullet"/>
      <w:lvlText w:val="o"/>
      <w:lvlJc w:val="left"/>
      <w:pPr>
        <w:ind w:hanging="360" w:left="5760"/>
      </w:pPr>
      <w:rPr>
        <w:rFonts w:ascii="Courier New" w:cs="Courier New" w:hAnsi="Courier New" w:hint="default"/>
      </w:rPr>
    </w:lvl>
    <w:lvl w:ilvl="8">
      <w:numFmt w:val="bullet"/>
      <w:lvlText w:val=""/>
      <w:lvlJc w:val="left"/>
      <w:pPr>
        <w:ind w:hanging="360" w:left="6480"/>
      </w:pPr>
      <w:rPr>
        <w:rFonts w:ascii="Wingdings" w:cs="Wingdings" w:hAnsi="Wingdings" w:hint="default"/>
      </w:rPr>
    </w:lvl>
  </w:abstractNum>
  <w:abstractNum w15:restartNumberingAfterBreak="0" w:abstractNumId="2">
    <w:nsid w:val="04352475"/>
    <w:multiLevelType w:val="multilevel"/>
    <w:tmpl w:val="0B5C3C7C"/>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3">
    <w:nsid w:val="27580FEE"/>
    <w:multiLevelType w:val="multilevel"/>
    <w:tmpl w:val="9D544CDC"/>
    <w:styleLink w:val="CurrentList2"/>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4">
    <w:nsid w:val="400A04EB"/>
    <w:multiLevelType w:val="hybridMultilevel"/>
    <w:tmpl w:val="C7FEDEBC"/>
    <w:lvl w:ilvl="0" w:tplc="7876CDB4">
      <w:numFmt w:val="bullet"/>
      <w:lvlText w:val="-"/>
      <w:lvlJc w:val="left"/>
      <w:pPr>
        <w:ind w:hanging="360" w:left="720"/>
      </w:pPr>
      <w:rPr>
        <w:rFonts w:ascii="Calibri Light" w:cstheme="minorBidi" w:eastAsiaTheme="minorHAnsi" w:hAnsi="Calibri Light"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5">
    <w:nsid w:val="50E51DAE"/>
    <w:multiLevelType w:val="multilevel"/>
    <w:tmpl w:val="563A878E"/>
    <w:styleLink w:val="CurrentList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6">
    <w:nsid w:val="52107C0B"/>
    <w:multiLevelType w:val="multilevel"/>
    <w:tmpl w:val="BBB8FE78"/>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7">
    <w:nsid w:val="7CD12584"/>
    <w:multiLevelType w:val="multilevel"/>
    <w:tmpl w:val="06BCBE18"/>
    <w:lvl w:ilvl="0">
      <w:start w:val="1"/>
      <w:numFmt w:val="decimal"/>
      <w:pStyle w:val="Heading1"/>
      <w:isLgl/>
      <w:lvlText w:val="%1."/>
      <w:lvlJc w:val="left"/>
      <w:pPr>
        <w:ind w:hanging="360" w:left="360"/>
      </w:pPr>
      <w:rPr>
        <w:rFonts w:hint="default"/>
      </w:rPr>
    </w:lvl>
    <w:lvl w:ilvl="1">
      <w:start w:val="1"/>
      <w:numFmt w:val="decimal"/>
      <w:pStyle w:val="Heading2"/>
      <w:lvlText w:val="%1.%2."/>
      <w:lvlJc w:val="left"/>
      <w:pPr>
        <w:ind w:hanging="432" w:left="792"/>
      </w:pPr>
      <w:rPr>
        <w:rFonts w:hint="default"/>
      </w:rPr>
    </w:lvl>
    <w:lvl w:ilvl="2">
      <w:start w:val="1"/>
      <w:numFmt w:val="decimal"/>
      <w:pStyle w:val="Heading3"/>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16cid:durableId="1720471213" w:numId="1">
    <w:abstractNumId w:val="2"/>
  </w:num>
  <w:num w16cid:durableId="1648320710" w:numId="2">
    <w:abstractNumId w:val="5"/>
  </w:num>
  <w:num w16cid:durableId="2017804043" w:numId="3">
    <w:abstractNumId w:val="6"/>
  </w:num>
  <w:num w16cid:durableId="1651909906" w:numId="4">
    <w:abstractNumId w:val="3"/>
  </w:num>
  <w:num w16cid:durableId="521095555" w:numId="5">
    <w:abstractNumId w:val="7"/>
  </w:num>
  <w:num w16cid:durableId="817499995" w:numId="6">
    <w:abstractNumId w:val="4"/>
  </w:num>
  <w:num w16cid:durableId="1906332917" w:numId="7">
    <w:abstractNumId w:val="0"/>
  </w:num>
  <w:num w16cid:durableId="1745058132" w:numId="8">
    <w:abstractNumId w:val="1"/>
  </w:num>
  <w:num w16cid:durableId="1817255597" w:numId="9">
    <w:abstractNumId w:val="1"/>
  </w:num>
  <w:num w16cid:durableId="172231987" w:numId="10">
    <w:abstractNumId w:val="1"/>
  </w:num>
  <w:num w16cid:durableId="92215818" w:numId="11">
    <w:abstractNumId w:val="1"/>
  </w:num>
  <w:num w16cid:durableId="1483934940" w:numId="12">
    <w:abstractNumId w:val="1"/>
  </w:num>
  <w:num w16cid:durableId="1150366971" w:numId="13">
    <w:abstractNumId w:val="1"/>
  </w:num>
  <w:num w16cid:durableId="1761292258" w:numId="14">
    <w:abstractNumId w:val="1"/>
  </w:num>
  <w:num w16cid:durableId="346903929" w:numId="15">
    <w:abstractNumId w:val="1"/>
  </w:num>
  <w:num w16cid:durableId="1559971392" w:numId="16">
    <w:abstractNumId w:val="1"/>
  </w:num>
  <w:num w16cid:durableId="517354298" w:numId="17">
    <w:abstractNumId w:val="1"/>
  </w:num>
  <w:num w16cid:durableId="833032575" w:numId="18">
    <w:abstractNumId w:val="1"/>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60"/>
  <w:embedSystemFonts/>
  <w:proofState w:grammar="clean" w:spelling="clean"/>
  <w:stylePaneFormatFilter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al="1004" w:visibleStyles="0"/>
  <w:doNotTrackMoves/>
  <w:defaultTabStop w:val="720"/>
  <w:defaultTableStyle w:val="TableGrid"/>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D39"/>
    <w:rsid w:val="001509A7"/>
    <w:rsid w:val="00267AAB"/>
    <w:rsid w:val="003A690E"/>
    <w:rsid w:val="00414B90"/>
    <w:rsid w:val="004528CD"/>
    <w:rsid w:val="00526565"/>
    <w:rsid w:val="00541D66"/>
    <w:rsid w:val="00544B38"/>
    <w:rsid w:val="00565810"/>
    <w:rsid w:val="005D4391"/>
    <w:rsid w:val="006148BD"/>
    <w:rsid w:val="00666DED"/>
    <w:rsid w:val="008165A3"/>
    <w:rsid w:val="00860E1D"/>
    <w:rsid w:val="008662B7"/>
    <w:rsid w:val="008852B8"/>
    <w:rsid w:val="0094385A"/>
    <w:rsid w:val="00A1506E"/>
    <w:rsid w:val="00A64414"/>
    <w:rsid w:val="00AC12F5"/>
    <w:rsid w:val="00AD54C5"/>
    <w:rsid w:val="00B03303"/>
    <w:rsid w:val="00B31D39"/>
    <w:rsid w:val="00DE2473"/>
    <w:rsid w:val="00E0006B"/>
    <w:rsid w:val="00E218FB"/>
    <w:rsid w:val="00E820F7"/>
    <w:rsid w:val="00EB543D"/>
    <w:rsid w:val="00F41D15"/>
    <w:rsid w:val="00FA1C42"/>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HAnsi" w:hAnsiTheme="minorHAnsi"/>
        <w:kern w:val="2"/>
        <w:sz w:val="24"/>
        <w:szCs w:val="24"/>
        <w:lang w:bidi="ar-SA" w:eastAsia="en-US" w:val="en-US"/>
        <w14:ligatures w14:val="standardContextual"/>
      </w:rPr>
    </w:rPrDefault>
    <w:pPrDefault>
      <w:pPr>
        <w:spacing w:after="160" w:line="27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Normal" w:type="paragraph">
    <w:name w:val="Normal"/>
    <w:qFormat/>
    <w:rsid w:val="00B31D39"/>
    <w:rPr>
      <w:rFonts w:ascii="Calibri" w:hAnsi="Calibri"/>
    </w:rPr>
  </w:style>
  <w:style w:styleId="Heading1" w:type="paragraph">
    <w:name w:val="heading 1"/>
    <w:basedOn w:val="Normal"/>
    <w:next w:val="Normal"/>
    <w:link w:val="Heading1Char"/>
    <w:uiPriority w:val="9"/>
    <w:qFormat/>
    <w:rsid w:val="00B31D39"/>
    <w:pPr>
      <w:keepNext/>
      <w:keepLines/>
      <w:numPr>
        <w:numId w:val="5"/>
      </w:numPr>
      <w:spacing w:after="80" w:before="360"/>
      <w:outlineLvl w:val="0"/>
    </w:pPr>
    <w:rPr>
      <w:rFonts w:cstheme="majorBidi" w:eastAsiaTheme="majorEastAsia"/>
      <w:b/>
      <w:color w:themeColor="accent1" w:themeShade="BF" w:val="0F4761"/>
      <w:sz w:val="40"/>
      <w:szCs w:val="40"/>
    </w:rPr>
  </w:style>
  <w:style w:styleId="Heading2" w:type="paragraph">
    <w:name w:val="heading 2"/>
    <w:basedOn w:val="Heading1"/>
    <w:next w:val="Normal"/>
    <w:link w:val="Heading2Char"/>
    <w:uiPriority w:val="9"/>
    <w:unhideWhenUsed/>
    <w:qFormat/>
    <w:rsid w:val="00FA1C42"/>
    <w:pPr>
      <w:numPr>
        <w:ilvl w:val="1"/>
      </w:numPr>
      <w:spacing w:before="160"/>
      <w:ind w:left="432"/>
      <w:outlineLvl w:val="1"/>
    </w:pPr>
    <w:rPr>
      <w:sz w:val="32"/>
      <w:szCs w:val="32"/>
    </w:rPr>
  </w:style>
  <w:style w:styleId="Heading3" w:type="paragraph">
    <w:name w:val="heading 3"/>
    <w:basedOn w:val="Heading2"/>
    <w:next w:val="Normal"/>
    <w:link w:val="Heading3Char"/>
    <w:uiPriority w:val="9"/>
    <w:unhideWhenUsed/>
    <w:qFormat/>
    <w:rsid w:val="00FA1C42"/>
    <w:pPr>
      <w:numPr>
        <w:ilvl w:val="2"/>
      </w:numPr>
      <w:ind w:left="504"/>
      <w:outlineLvl w:val="2"/>
    </w:pPr>
    <w:rPr>
      <w:rFonts w:cs="Times New Roman (Headings CS)"/>
      <w:sz w:val="28"/>
      <w:szCs w:val="28"/>
    </w:rPr>
  </w:style>
  <w:style w:styleId="Heading4" w:type="paragraph">
    <w:name w:val="heading 4"/>
    <w:basedOn w:val="Normal"/>
    <w:next w:val="Normal"/>
    <w:link w:val="Heading4Char"/>
    <w:uiPriority w:val="9"/>
    <w:semiHidden/>
    <w:unhideWhenUsed/>
    <w:qFormat/>
    <w:rsid w:val="00B31D3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Normal"/>
    <w:link w:val="Heading5Char"/>
    <w:uiPriority w:val="9"/>
    <w:semiHidden/>
    <w:unhideWhenUsed/>
    <w:qFormat/>
    <w:rsid w:val="00B31D3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Normal"/>
    <w:link w:val="Heading6Char"/>
    <w:uiPriority w:val="9"/>
    <w:semiHidden/>
    <w:unhideWhenUsed/>
    <w:qFormat/>
    <w:rsid w:val="00B31D3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Normal"/>
    <w:link w:val="Heading7Char"/>
    <w:uiPriority w:val="9"/>
    <w:semiHidden/>
    <w:unhideWhenUsed/>
    <w:qFormat/>
    <w:rsid w:val="00B31D3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Normal"/>
    <w:link w:val="Heading8Char"/>
    <w:uiPriority w:val="9"/>
    <w:semiHidden/>
    <w:unhideWhenUsed/>
    <w:qFormat/>
    <w:rsid w:val="00B31D3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Normal"/>
    <w:link w:val="Heading9Char"/>
    <w:uiPriority w:val="9"/>
    <w:semiHidden/>
    <w:unhideWhenUsed/>
    <w:qFormat/>
    <w:rsid w:val="00B31D3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B31D39"/>
    <w:rPr>
      <w:rFonts w:ascii="Calibri" w:cstheme="majorBidi" w:eastAsiaTheme="majorEastAsia" w:hAnsi="Calibri"/>
      <w:b/>
      <w:color w:themeColor="accent1" w:themeShade="BF" w:val="0F4761"/>
      <w:sz w:val="40"/>
      <w:szCs w:val="40"/>
    </w:rPr>
  </w:style>
  <w:style w:customStyle="1" w:styleId="Heading2Char" w:type="character">
    <w:name w:val="Heading 2 Char"/>
    <w:basedOn w:val="DefaultParagraphFont"/>
    <w:link w:val="Heading2"/>
    <w:uiPriority w:val="9"/>
    <w:rsid w:val="00FA1C42"/>
    <w:rPr>
      <w:rFonts w:ascii="Calibri" w:cstheme="majorBidi" w:eastAsiaTheme="majorEastAsia" w:hAnsi="Calibri"/>
      <w:b/>
      <w:color w:themeColor="accent1" w:themeShade="BF" w:val="0F4761"/>
      <w:sz w:val="32"/>
      <w:szCs w:val="32"/>
    </w:rPr>
  </w:style>
  <w:style w:customStyle="1" w:styleId="Heading3Char" w:type="character">
    <w:name w:val="Heading 3 Char"/>
    <w:basedOn w:val="DefaultParagraphFont"/>
    <w:link w:val="Heading3"/>
    <w:uiPriority w:val="9"/>
    <w:rsid w:val="00FA1C42"/>
    <w:rPr>
      <w:rFonts w:ascii="Calibri" w:cs="Times New Roman (Headings CS)" w:eastAsiaTheme="majorEastAsia" w:hAnsi="Calibri"/>
      <w:b/>
      <w:color w:themeColor="accent1" w:themeShade="BF" w:val="0F4761"/>
      <w:sz w:val="28"/>
      <w:szCs w:val="28"/>
    </w:rPr>
  </w:style>
  <w:style w:customStyle="1" w:styleId="Heading4Char" w:type="character">
    <w:name w:val="Heading 4 Char"/>
    <w:basedOn w:val="DefaultParagraphFont"/>
    <w:link w:val="Heading4"/>
    <w:uiPriority w:val="9"/>
    <w:semiHidden/>
    <w:rsid w:val="00B31D3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B31D3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B31D3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B31D3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B31D3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B31D39"/>
    <w:rPr>
      <w:rFonts w:cstheme="majorBidi" w:eastAsiaTheme="majorEastAsia"/>
      <w:color w:themeColor="text1" w:themeTint="D8" w:val="272727"/>
    </w:rPr>
  </w:style>
  <w:style w:styleId="Title" w:type="paragraph">
    <w:name w:val="Title"/>
    <w:basedOn w:val="Normal"/>
    <w:next w:val="Normal"/>
    <w:link w:val="TitleChar"/>
    <w:uiPriority w:val="10"/>
    <w:qFormat/>
    <w:rsid w:val="00B31D39"/>
    <w:pPr>
      <w:spacing w:after="80" w:line="240" w:lineRule="auto"/>
      <w:contextualSpacing/>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B31D39"/>
    <w:rPr>
      <w:rFonts w:asciiTheme="majorHAnsi" w:cstheme="majorBidi" w:eastAsiaTheme="majorEastAsia" w:hAnsiTheme="majorHAnsi"/>
      <w:spacing w:val="-10"/>
      <w:kern w:val="28"/>
      <w:sz w:val="56"/>
      <w:szCs w:val="56"/>
    </w:rPr>
  </w:style>
  <w:style w:styleId="Subtitle" w:type="paragraph">
    <w:name w:val="Subtitle"/>
    <w:basedOn w:val="Normal"/>
    <w:next w:val="Normal"/>
    <w:link w:val="SubtitleChar"/>
    <w:uiPriority w:val="11"/>
    <w:qFormat/>
    <w:rsid w:val="00B31D39"/>
    <w:pPr>
      <w:numPr>
        <w:ilvl w:val="1"/>
      </w:numPr>
    </w:pPr>
    <w:rPr>
      <w:rFonts w:cstheme="majorBidi" w:eastAsiaTheme="majorEastAsia"/>
      <w:color w:themeColor="text1" w:themeTint="A6" w:val="595959"/>
      <w:spacing w:val="15"/>
      <w:sz w:val="28"/>
      <w:szCs w:val="28"/>
    </w:rPr>
  </w:style>
  <w:style w:customStyle="1" w:styleId="SubtitleChar" w:type="character">
    <w:name w:val="Subtitle Char"/>
    <w:basedOn w:val="DefaultParagraphFont"/>
    <w:link w:val="Subtitle"/>
    <w:uiPriority w:val="11"/>
    <w:rsid w:val="00B31D39"/>
    <w:rPr>
      <w:rFonts w:cstheme="majorBidi" w:eastAsiaTheme="majorEastAsia"/>
      <w:color w:themeColor="text1" w:themeTint="A6" w:val="595959"/>
      <w:spacing w:val="15"/>
      <w:sz w:val="28"/>
      <w:szCs w:val="28"/>
    </w:rPr>
  </w:style>
  <w:style w:styleId="Quote" w:type="paragraph">
    <w:name w:val="Quote"/>
    <w:basedOn w:val="Normal"/>
    <w:next w:val="Normal"/>
    <w:link w:val="QuoteChar"/>
    <w:uiPriority w:val="29"/>
    <w:qFormat/>
    <w:rsid w:val="00B31D39"/>
    <w:pPr>
      <w:spacing w:before="160"/>
      <w:jc w:val="center"/>
    </w:pPr>
    <w:rPr>
      <w:i/>
      <w:iCs/>
      <w:color w:themeColor="text1" w:themeTint="BF" w:val="404040"/>
    </w:rPr>
  </w:style>
  <w:style w:customStyle="1" w:styleId="QuoteChar" w:type="character">
    <w:name w:val="Quote Char"/>
    <w:basedOn w:val="DefaultParagraphFont"/>
    <w:link w:val="Quote"/>
    <w:uiPriority w:val="29"/>
    <w:rsid w:val="00B31D39"/>
    <w:rPr>
      <w:i/>
      <w:iCs/>
      <w:color w:themeColor="text1" w:themeTint="BF" w:val="404040"/>
    </w:rPr>
  </w:style>
  <w:style w:styleId="ListParagraph" w:type="paragraph">
    <w:name w:val="List Paragraph"/>
    <w:basedOn w:val="Normal"/>
    <w:uiPriority w:val="34"/>
    <w:qFormat/>
    <w:rsid w:val="00B31D39"/>
    <w:pPr>
      <w:ind w:left="720"/>
      <w:contextualSpacing/>
    </w:pPr>
  </w:style>
  <w:style w:styleId="IntenseEmphasis" w:type="character">
    <w:name w:val="Intense Emphasis"/>
    <w:basedOn w:val="DefaultParagraphFont"/>
    <w:uiPriority w:val="21"/>
    <w:qFormat/>
    <w:rsid w:val="00B31D39"/>
    <w:rPr>
      <w:i/>
      <w:iCs/>
      <w:color w:themeColor="accent1" w:themeShade="BF" w:val="0F4761"/>
    </w:rPr>
  </w:style>
  <w:style w:styleId="IntenseQuote" w:type="paragraph">
    <w:name w:val="Intense Quote"/>
    <w:basedOn w:val="Normal"/>
    <w:next w:val="Normal"/>
    <w:link w:val="IntenseQuoteChar"/>
    <w:uiPriority w:val="30"/>
    <w:qFormat/>
    <w:rsid w:val="00B31D39"/>
    <w:pPr>
      <w:pBdr>
        <w:top w:color="0F4761" w:space="10" w:sz="4" w:themeColor="accent1" w:themeShade="BF" w:val="single"/>
        <w:bottom w:color="0F4761" w:space="10" w:sz="4" w:themeColor="accent1" w:themeShade="BF" w:val="single"/>
      </w:pBdr>
      <w:spacing w:after="360" w:before="360"/>
      <w:ind w:left="864" w:right="864"/>
      <w:jc w:val="center"/>
    </w:pPr>
    <w:rPr>
      <w:i/>
      <w:iCs/>
      <w:color w:themeColor="accent1" w:themeShade="BF" w:val="0F4761"/>
    </w:rPr>
  </w:style>
  <w:style w:customStyle="1" w:styleId="IntenseQuoteChar" w:type="character">
    <w:name w:val="Intense Quote Char"/>
    <w:basedOn w:val="DefaultParagraphFont"/>
    <w:link w:val="IntenseQuote"/>
    <w:uiPriority w:val="30"/>
    <w:rsid w:val="00B31D39"/>
    <w:rPr>
      <w:i/>
      <w:iCs/>
      <w:color w:themeColor="accent1" w:themeShade="BF" w:val="0F4761"/>
    </w:rPr>
  </w:style>
  <w:style w:styleId="IntenseReference" w:type="character">
    <w:name w:val="Intense Reference"/>
    <w:basedOn w:val="DefaultParagraphFont"/>
    <w:uiPriority w:val="32"/>
    <w:qFormat/>
    <w:rsid w:val="00B31D39"/>
    <w:rPr>
      <w:b/>
      <w:bCs/>
      <w:smallCaps/>
      <w:color w:themeColor="accent1" w:themeShade="BF" w:val="0F4761"/>
      <w:spacing w:val="5"/>
    </w:rPr>
  </w:style>
  <w:style w:customStyle="1" w:styleId="CurrentList1" w:type="numbering">
    <w:name w:val="Current List1"/>
    <w:uiPriority w:val="99"/>
    <w:rsid w:val="00B31D39"/>
    <w:pPr>
      <w:numPr>
        <w:numId w:val="2"/>
      </w:numPr>
    </w:pPr>
  </w:style>
  <w:style w:customStyle="1" w:styleId="CurrentList2" w:type="numbering">
    <w:name w:val="Current List2"/>
    <w:uiPriority w:val="99"/>
    <w:rsid w:val="00B31D39"/>
    <w:pPr>
      <w:numPr>
        <w:numId w:val="4"/>
      </w:numPr>
    </w:pPr>
  </w:style>
  <w:style w:styleId="TableGrid" w:type="table">
    <w:name w:val="Table Grid"/>
    <w:basedOn w:val="TableNormal"/>
    <w:uiPriority w:val="39"/>
    <w:rsid w:val="008852B8"/>
    <w:pPr>
      <w:spacing w:after="0" w:line="240" w:lineRule="auto"/>
    </w:pPr>
    <w:rPr>
      <w:rFonts w:ascii="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rPr>
      <w:tblPr/>
      <w:tcPr>
        <w:shd w:color="auto" w:fill="A5C9EB" w:themeFill="text2" w:themeFillTint="40" w:val="clear"/>
      </w:tcPr>
    </w:tblStylePr>
  </w:style>
  <w:style w:styleId="PlainTable1" w:type="table">
    <w:name w:val="Plain Table 1"/>
    <w:basedOn w:val="TableNormal"/>
    <w:uiPriority w:val="41"/>
    <w:rsid w:val="00E820F7"/>
    <w:pPr>
      <w:spacing w:after="0" w:line="240" w:lineRule="auto"/>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SourceCode" w:type="paragraph">
    <w:name w:val="Source Code"/>
    <w:basedOn w:val="Normal"/>
    <w:pPr>
      <w:wordWrap w:val="0"/>
    </w:p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Pr>
      <w:i/>
      <w:color w:val="60A0B0"/>
    </w:rPr>
  </w:style>
  <w:style w:customStyle="1" w:styleId="DocumentationTok" w:type="character">
    <w:name w:val="DocumentationTok"/>
    <w:rPr>
      <w:i/>
      <w:color w:val="BA2121"/>
    </w:rPr>
  </w:style>
  <w:style w:customStyle="1" w:styleId="AnnotationTok" w:type="character">
    <w:name w:val="AnnotationTok"/>
    <w:rPr>
      <w:b/>
      <w:i/>
      <w:color w:val="60A0B0"/>
    </w:rPr>
  </w:style>
  <w:style w:customStyle="1" w:styleId="CommentVarTok" w:type="character">
    <w:name w:val="CommentVarTok"/>
    <w:rPr>
      <w:b/>
      <w:i/>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Pr>
      <w:b/>
      <w:i/>
      <w:color w:val="60A0B0"/>
    </w:rPr>
  </w:style>
  <w:style w:customStyle="1" w:styleId="WarningTok" w:type="character">
    <w:name w:val="WarningTok"/>
    <w:rPr>
      <w:b/>
      <w:i/>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Hyperlink" w:type="character">
    <w:name w:val="Hyperlink"/>
    <w:basedOn w:val="DefaultParagraphFont"/>
    <w:uiPriority w:val="99"/>
    <w:unhideWhenUsed/>
    <w:rsid w:val="008662B7"/>
    <w:rPr>
      <w:color w:themeColor="hyperlink" w:val="467886"/>
      <w:u w:val="single"/>
    </w:rPr>
  </w:style>
  <w:style w:styleId="UnresolvedMention" w:type="character">
    <w:name w:val="Unresolved Mention"/>
    <w:basedOn w:val="DefaultParagraphFont"/>
    <w:uiPriority w:val="99"/>
    <w:semiHidden/>
    <w:unhideWhenUsed/>
    <w:rsid w:val="008662B7"/>
    <w:rPr>
      <w:color w:val="605E5C"/>
      <w:shd w:color="auto" w:fill="E1DFDD" w:val="cle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30" Type="http://schemas.openxmlformats.org/officeDocument/2006/relationships/image" Target="media/rId30.png"/><Relationship Id="rId33" Type="http://schemas.openxmlformats.org/officeDocument/2006/relationships/image" Target="media/rId33.png"/><Relationship Id="rId23" Type="http://schemas.openxmlformats.org/officeDocument/2006/relationships/image" Target="media/rId23.png"/><Relationship Id="rId20" Type="http://schemas.openxmlformats.org/officeDocument/2006/relationships/image" Target="media/rId20.png"/><Relationship Id="rId40" Type="http://schemas.openxmlformats.org/officeDocument/2006/relationships/hyperlink" Target="https://www.inrs.fr/accueil/publications/bdd/fichetox/fiche.html?refINRS=FICHETOX_59" TargetMode="External"/><Relationship Id="rId43" Type="http://schemas.openxmlformats.org/officeDocument/2006/relationships/hyperlink" Target="https://www.inrs.fr/accueil/publications/bdd/fichetox/fiche.html?refINRS=FICHETOX_59&amp;section=VLEPMesurage" TargetMode="External"/><Relationship Id="rId48" Type="http://schemas.openxmlformats.org/officeDocument/2006/relationships/hyperlink" Target="https://www.inrs.fr/accueil/publications/bdd/fichetox/fiche.html?refINRS=FICHETOX_59&amp;section=bibliographieAuteurs" TargetMode="External"/><Relationship Id="rId42" Type="http://schemas.openxmlformats.org/officeDocument/2006/relationships/hyperlink" Target="https://www.inrs.fr/accueil/publications/bdd/fichetox/fiche.html?refINRS=FICHETOX_59&amp;section=caracteristiques" TargetMode="External"/><Relationship Id="rId41" Type="http://schemas.openxmlformats.org/officeDocument/2006/relationships/hyperlink" Target="https://www.inrs.fr/accueil/publications/bdd/fichetox/fiche.html?refINRS=FICHETOX_59&amp;section=generalites" TargetMode="External"/><Relationship Id="rId44" Type="http://schemas.openxmlformats.org/officeDocument/2006/relationships/hyperlink" Target="https://www.inrs.fr/accueil/publications/bdd/fichetox/fiche.html?refINRS=FICHETOX_59&amp;section=incendieExplosion" TargetMode="External"/><Relationship Id="rId45" Type="http://schemas.openxmlformats.org/officeDocument/2006/relationships/hyperlink" Target="https://www.inrs.fr/accueil/publications/bdd/fichetox/fiche.html?refINRS=FICHETOX_59&amp;section=pathologieToxicologie" TargetMode="External"/><Relationship Id="rId47" Type="http://schemas.openxmlformats.org/officeDocument/2006/relationships/hyperlink" Target="https://www.inrs.fr/accueil/publications/bdd/fichetox/fiche.html?refINRS=FICHETOX_59&amp;section=recommandations" TargetMode="External"/><Relationship Id="rId46" Type="http://schemas.openxmlformats.org/officeDocument/2006/relationships/hyperlink" Target="https://www.inrs.fr/accueil/publications/bdd/fichetox/fiche.html?refINRS=FICHETOX_59&amp;section=reglementation" TargetMode="External"/></Relationships>
</file>

<file path=word/_rels/footnotes.xml.rels><?xml version='1.0' encoding='UTF-8' standalone='yes'?>
<Relationships xmlns="http://schemas.openxmlformats.org/package/2006/relationships"><Relationship Id="rId40" Type="http://schemas.openxmlformats.org/officeDocument/2006/relationships/hyperlink" Target="https://www.inrs.fr/accueil/publications/bdd/fichetox/fiche.html?refINRS=FICHETOX_59" TargetMode="External"/><Relationship Id="rId43" Type="http://schemas.openxmlformats.org/officeDocument/2006/relationships/hyperlink" Target="https://www.inrs.fr/accueil/publications/bdd/fichetox/fiche.html?refINRS=FICHETOX_59&amp;section=VLEPMesurage" TargetMode="External"/><Relationship Id="rId48" Type="http://schemas.openxmlformats.org/officeDocument/2006/relationships/hyperlink" Target="https://www.inrs.fr/accueil/publications/bdd/fichetox/fiche.html?refINRS=FICHETOX_59&amp;section=bibliographieAuteurs" TargetMode="External"/><Relationship Id="rId42" Type="http://schemas.openxmlformats.org/officeDocument/2006/relationships/hyperlink" Target="https://www.inrs.fr/accueil/publications/bdd/fichetox/fiche.html?refINRS=FICHETOX_59&amp;section=caracteristiques" TargetMode="External"/><Relationship Id="rId41" Type="http://schemas.openxmlformats.org/officeDocument/2006/relationships/hyperlink" Target="https://www.inrs.fr/accueil/publications/bdd/fichetox/fiche.html?refINRS=FICHETOX_59&amp;section=generalites" TargetMode="External"/><Relationship Id="rId44" Type="http://schemas.openxmlformats.org/officeDocument/2006/relationships/hyperlink" Target="https://www.inrs.fr/accueil/publications/bdd/fichetox/fiche.html?refINRS=FICHETOX_59&amp;section=incendieExplosion" TargetMode="External"/><Relationship Id="rId45" Type="http://schemas.openxmlformats.org/officeDocument/2006/relationships/hyperlink" Target="https://www.inrs.fr/accueil/publications/bdd/fichetox/fiche.html?refINRS=FICHETOX_59&amp;section=pathologieToxicologie" TargetMode="External"/><Relationship Id="rId47" Type="http://schemas.openxmlformats.org/officeDocument/2006/relationships/hyperlink" Target="https://www.inrs.fr/accueil/publications/bdd/fichetox/fiche.html?refINRS=FICHETOX_59&amp;section=recommandations" TargetMode="External"/><Relationship Id="rId46" Type="http://schemas.openxmlformats.org/officeDocument/2006/relationships/hyperlink" Target="https://www.inrs.fr/accueil/publications/bdd/fichetox/fiche.html?refINRS=FICHETOX_59&amp;section=reglement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38</Words>
  <Characters>167</Characters>
  <Application>Microsoft Office Word</Application>
  <DocSecurity>0</DocSecurity>
  <Lines>16</Lines>
  <Paragraphs>18</Paragraphs>
  <ScaleCrop>false</ScaleCrop>
  <Company/>
  <LinksUpToDate>false</LinksUpToDate>
  <CharactersWithSpaces>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2026-06-16T12:18:46Z</dcterms:created>
  <dcterms:modified xsi:type="dcterms:W3CDTF">2026-06-16T12:18:46Z</dcterms:modified>
</cp:coreProperties>
</file>

<file path=docProps/custom.xml><?xml version="1.0" encoding="utf-8"?>
<Properties xmlns="http://schemas.openxmlformats.org/officeDocument/2006/custom-properties" xmlns:vt="http://schemas.openxmlformats.org/officeDocument/2006/docPropsVTypes"/>
</file>