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benzene-be-fr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CARL</w:t>
            </w: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 xml:space="preserve">Roth GmbH + Co. KG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2026-06-16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benzene-be-fr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5" w:name="analyse-des-dangers-benzene-be-fr"/>
    <w:p>
      <w:pPr>
        <w:pStyle w:val="Heading1"/>
      </w:pPr>
      <w:r>
        <w:t xml:space="preserve">Analyse des dangers : benzene-be-fr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benzene-be-fr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CARL</w:t>
            </w: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 xml:space="preserve">Roth GmbH + Co. KG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Utilisations identifiées pertinentes : substance chimique de laboratoire, utilisation en laboratoire et à des fins d’analyse.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2026-03-18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2026-03-18.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Benzène devrait être classée H225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Benzène devrait être classée H304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Benzène devrait être classée H315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Benzène devrait être classée H319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Benzène devrait être classée H340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Benzène devrait être classée H350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Benzène devrait être classée H372** selon les dernières classifications harmonisées publiées par l’ECHA</w:t>
      </w:r>
    </w:p>
    <w:bookmarkEnd w:id="28"/>
    <w:bookmarkEnd w:id="29"/>
    <w:bookmarkStart w:id="39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  <w:r>
        <w:t xml:space="preserve"> </w:t>
      </w:r>
      <w:r>
        <w:drawing>
          <wp:inline>
            <wp:extent cx="719999" cy="719999"/>
            <wp:effectExtent b="0" l="0" r="0" t="0"/>
            <wp:docPr descr="Grave pour la santé" title="" id="37" name="Picture"/>
            <a:graphic>
              <a:graphicData uri="http://schemas.openxmlformats.org/drawingml/2006/picture">
                <pic:pic>
                  <pic:nvPicPr>
                    <pic:cNvPr descr="templates/SGH08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4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4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4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4"/>
        </w:numPr>
      </w:pPr>
      <w:r>
        <w:t xml:space="preserve">H340</w:t>
      </w:r>
      <w:r>
        <w:t xml:space="preserve"> </w:t>
      </w:r>
      <w:r>
        <w:t xml:space="preserve">Peut induire des anomalies génétiques.</w:t>
      </w:r>
    </w:p>
    <w:p>
      <w:pPr>
        <w:numPr>
          <w:ilvl w:val="0"/>
          <w:numId w:val="1004"/>
        </w:numPr>
      </w:pPr>
      <w:r>
        <w:t xml:space="preserve">H350</w:t>
      </w:r>
      <w:r>
        <w:t xml:space="preserve"> </w:t>
      </w:r>
      <w:r>
        <w:t xml:space="preserve">Peut provoquer le cancer.</w:t>
      </w:r>
    </w:p>
    <w:p>
      <w:pPr>
        <w:numPr>
          <w:ilvl w:val="0"/>
          <w:numId w:val="1004"/>
        </w:numPr>
      </w:pPr>
      <w:r>
        <w:t xml:space="preserve">H372</w:t>
      </w:r>
      <w:r>
        <w:t xml:space="preserve"> </w:t>
      </w:r>
      <w:r>
        <w:t xml:space="preserve">Risque avéré d’effets graves pour les organes à la suite d’expositions répétées ou d’une exposition prolongée.</w:t>
      </w:r>
    </w:p>
    <w:p>
      <w:pPr>
        <w:numPr>
          <w:ilvl w:val="0"/>
          <w:numId w:val="1004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P202</w:t>
      </w:r>
      <w:r>
        <w:t xml:space="preserve"> </w:t>
      </w:r>
      <w:r>
        <w:t xml:space="preserve">Ne pas manipuler avant d’avoir lu et compris toutes les précautions de sécurité.</w:t>
      </w:r>
    </w:p>
    <w:p>
      <w:pPr>
        <w:numPr>
          <w:ilvl w:val="0"/>
          <w:numId w:val="1005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5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5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numPr>
          <w:ilvl w:val="0"/>
          <w:numId w:val="1005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5"/>
        </w:numPr>
      </w:pPr>
      <w:r>
        <w:t xml:space="preserve">P308+P313</w:t>
      </w:r>
      <w:r>
        <w:t xml:space="preserve"> </w:t>
      </w:r>
      <w:r>
        <w:t xml:space="preserve">EN CAS d’exposition prouvée ou suspectée: consulter un médecin.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3</w:t>
      </w:r>
    </w:p>
    <w:p>
      <w:pPr>
        <w:pStyle w:val="Compact"/>
        <w:numPr>
          <w:ilvl w:val="0"/>
          <w:numId w:val="1006"/>
        </w:numPr>
      </w:pPr>
      <w:r>
        <w:t xml:space="preserve">RID : 3</w:t>
      </w:r>
    </w:p>
    <w:p>
      <w:pPr>
        <w:pStyle w:val="Compact"/>
        <w:numPr>
          <w:ilvl w:val="0"/>
          <w:numId w:val="1006"/>
        </w:numPr>
      </w:pPr>
      <w:r>
        <w:t xml:space="preserve">ADN : 3</w:t>
      </w:r>
    </w:p>
    <w:p>
      <w:pPr>
        <w:pStyle w:val="Compact"/>
        <w:numPr>
          <w:ilvl w:val="0"/>
          <w:numId w:val="1006"/>
        </w:numPr>
      </w:pPr>
      <w:r>
        <w:t xml:space="preserve">IMDG : 3</w:t>
      </w:r>
    </w:p>
    <w:p>
      <w:pPr>
        <w:pStyle w:val="Compact"/>
        <w:numPr>
          <w:ilvl w:val="0"/>
          <w:numId w:val="1006"/>
        </w:numPr>
      </w:pPr>
      <w:r>
        <w:t xml:space="preserve">IATA : 3</w:t>
      </w:r>
    </w:p>
    <w:p>
      <w:pPr>
        <w:pStyle w:val="Compact"/>
        <w:numPr>
          <w:ilvl w:val="0"/>
          <w:numId w:val="1006"/>
        </w:numPr>
      </w:pPr>
      <w:r>
        <w:t xml:space="preserve">UN : NU 1114</w:t>
      </w:r>
    </w:p>
    <w:bookmarkEnd w:id="39"/>
    <w:bookmarkStart w:id="40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Enlever les vêtements contaminés.</w:t>
      </w:r>
      <w:r>
        <w:t xml:space="preserve"> </w:t>
      </w:r>
      <w:r>
        <w:t xml:space="preserve">Rincer abondamment la peau à l’eau (ou se doucher).</w:t>
      </w:r>
      <w:r>
        <w:t xml:space="preserve"> </w:t>
      </w:r>
      <w:r>
        <w:t xml:space="preserve">En cas d’irritations cutanées, consulter un dermatologue.</w:t>
      </w:r>
    </w:p>
    <w:p>
      <w:pPr>
        <w:pStyle w:val="BodyText"/>
      </w:pPr>
      <w:r>
        <w:t xml:space="preserve">eyes : Tenir les paupières ouvertes.</w:t>
      </w:r>
      <w:r>
        <w:t xml:space="preserve"> </w:t>
      </w:r>
      <w:r>
        <w:t xml:space="preserve">Rincer abondamment les yeux pendant 10 minutes à l’eau courante.</w:t>
      </w:r>
      <w:r>
        <w:t xml:space="preserve"> </w:t>
      </w:r>
      <w:r>
        <w:t xml:space="preserve">En cas d’irritation oculaire, consulter un ophtalmologue.</w:t>
      </w:r>
    </w:p>
    <w:p>
      <w:pPr>
        <w:pStyle w:val="BodyText"/>
      </w:pPr>
      <w:r>
        <w:t xml:space="preserve">ingestion : En cas d’accident ou de malaise, consulter immédiatement un médecin (si possible, montrer l’étiquette).</w:t>
      </w:r>
      <w:r>
        <w:t xml:space="preserve"> </w:t>
      </w:r>
      <w:r>
        <w:t xml:space="preserve">Observer le danger en cas d’aspiration lorsqu’il y a régurgitation.</w:t>
      </w:r>
    </w:p>
    <w:p>
      <w:pPr>
        <w:pStyle w:val="BodyText"/>
      </w:pPr>
      <w:r>
        <w:t xml:space="preserve">inhalation : Fournir de l’air frais.</w:t>
      </w:r>
      <w:r>
        <w:t xml:space="preserve"> </w:t>
      </w:r>
      <w:r>
        <w:t xml:space="preserve">En cas de malaise ou de doute, consulter un médecin.</w:t>
      </w:r>
    </w:p>
    <w:p>
      <w:r>
        <w:br w:type="page"/>
      </w:r>
    </w:p>
    <w:bookmarkEnd w:id="40"/>
    <w:bookmarkStart w:id="5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51" w:name="benzène"/>
    <w:p>
      <w:pPr>
        <w:pStyle w:val="Heading3"/>
      </w:pPr>
      <w:r>
        <w:t xml:space="preserve">Benzène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71-43-2</w:t>
      </w:r>
    </w:p>
    <w:p>
      <w:pPr>
        <w:pStyle w:val="Compact"/>
        <w:numPr>
          <w:ilvl w:val="0"/>
          <w:numId w:val="1007"/>
        </w:numPr>
      </w:pPr>
      <w:r>
        <w:t xml:space="preserve">N° EINECS : 200-753-7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:greater or equal to 99.5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8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8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8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8"/>
        </w:numPr>
      </w:pPr>
      <w:r>
        <w:t xml:space="preserve">H340</w:t>
      </w:r>
      <w:r>
        <w:t xml:space="preserve"> </w:t>
      </w:r>
      <w:r>
        <w:t xml:space="preserve">Peut induire des anomalies génétiques.</w:t>
      </w:r>
    </w:p>
    <w:p>
      <w:pPr>
        <w:numPr>
          <w:ilvl w:val="0"/>
          <w:numId w:val="1008"/>
        </w:numPr>
      </w:pPr>
      <w:r>
        <w:t xml:space="preserve">H350</w:t>
      </w:r>
      <w:r>
        <w:t xml:space="preserve"> </w:t>
      </w:r>
      <w:r>
        <w:t xml:space="preserve">Peut provoquer le cancer.</w:t>
      </w:r>
    </w:p>
    <w:p>
      <w:pPr>
        <w:numPr>
          <w:ilvl w:val="0"/>
          <w:numId w:val="1008"/>
        </w:numPr>
      </w:pPr>
      <w:r>
        <w:t xml:space="preserve">H372**</w:t>
      </w:r>
      <w:r>
        <w:t xml:space="preserve"> </w:t>
      </w:r>
      <w:r>
        <w:t xml:space="preserve">Risque avéré d’effets graves pour les organes à la suite d’expositions répétées ou d’une exposition prolongée.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1.0 - VLE-8h (mg/m³) : 3.25</w:t>
            </w:r>
          </w:p>
        </w:tc>
      </w:tr>
    </w:tbl>
    <w:bookmarkStart w:id="50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1">
        <w:r>
          <w:rPr>
            <w:rStyle w:val="Hyperlink"/>
            <w:color w:val="0856A0"/>
            <w:u w:val="single"/>
          </w:rPr>
          <w:t xml:space="preserve">Fiche n°49 - Benzène</w:t>
        </w:r>
      </w:hyperlink>
    </w:p>
    <w:p>
      <w:pPr>
        <w:numPr>
          <w:ilvl w:val="0"/>
          <w:numId w:val="1009"/>
        </w:numPr>
      </w:pPr>
      <w:hyperlink r:id="rId42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9"/>
        </w:numPr>
      </w:pPr>
      <w:hyperlink r:id="rId43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9"/>
        </w:numPr>
      </w:pPr>
      <w:hyperlink r:id="rId44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9"/>
        </w:numPr>
      </w:pPr>
      <w:hyperlink r:id="rId45">
        <w:r>
          <w:rPr>
            <w:rStyle w:val="Hyperlink"/>
            <w:color w:val="0856A0"/>
            <w:u w:val="single"/>
          </w:rPr>
          <w:t xml:space="preserve">Incendie - Explosion[2, 3]</w:t>
        </w:r>
      </w:hyperlink>
    </w:p>
    <w:p>
      <w:pPr>
        <w:numPr>
          <w:ilvl w:val="0"/>
          <w:numId w:val="1009"/>
        </w:numPr>
      </w:pPr>
      <w:hyperlink r:id="rId46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9"/>
        </w:numPr>
      </w:pPr>
      <w:hyperlink r:id="rId47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9"/>
        </w:numPr>
      </w:pPr>
      <w:hyperlink r:id="rId48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9"/>
        </w:numPr>
      </w:pPr>
      <w:hyperlink r:id="rId49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0"/>
    <w:bookmarkEnd w:id="51"/>
    <w:bookmarkEnd w:id="52"/>
    <w:bookmarkStart w:id="5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Type : Gants de protection contre les substances chimiques selon la norme EN 374.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Matériau : FKM (caoutchouc fluoré).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Épaisseur : ≥ 0,4 mm.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Temps de rupture/permeation : &gt; 480 minutes (niveau 6 de perméation).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Utiliser des lunettes de protection avec protection latérale (couvre les côtés).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Utiliser des lunettes de protection avec protection latérale (couvre les côtés). - Type : Gants de protection contre les substances chimiques selon la norme EN 374.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Matériau : FKM (caoutchouc fluoré).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Épaisseur : ≥ 0,4 mm.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Temps de rupture/permeation : &gt; 480 minutes (niveau 6 de perméation).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Type : Masque respiratoire Type A (contre les gaz et vapeurs organiques avec un point d’ébullition &gt; 65 °C, code couleur : marron).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Utilisation : Nécessaire lors de la formation d’aérosols ou de nébulosité.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Vêtements ignifuges sont recommandés.</w:t>
            </w:r>
          </w:p>
        </w:tc>
      </w:tr>
    </w:tbl>
    <w:bookmarkEnd w:id="53"/>
    <w:bookmarkStart w:id="5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Mettre à disposition une ventilation suffisante. - Éviter l’exposition. - Conserver à l’écart de toute flamme ou source d’étincelles. - Ne pas fumer. - Utiliser seulement dans des zones bien ventilées. - Prendre des mesures de précaution contre les décharges électrostatiques.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 - Maintenir le récipient fermé de manière étanche. - Conserver dans un endroit frais. - Observez le stockage compatible de produits chimiques. - Matières incompatibles : voir rubrique 10. - Tenir à l’écart des matières combustibles. - Mise à la terre/liaison équipotentielle du récipient et du matériel de réception. - Exigences en matière de ventilation : utilisation d’une ventilation locale et générale. - Conception particulière des locaux ou des réservoirs de stockage : température de stockage recommandée : 15–25 °C.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Utilisations identifiées pertinentes : substance chimique de laboratoire, utilisation en laboratoire et à des fins d’analyse.</w:t>
            </w:r>
          </w:p>
        </w:tc>
      </w:tr>
    </w:tbl>
    <w:bookmarkEnd w:id="54"/>
    <w:bookmarkEnd w:id="5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36" Type="http://schemas.openxmlformats.org/officeDocument/2006/relationships/image" Target="media/rId36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1" Type="http://schemas.openxmlformats.org/officeDocument/2006/relationships/hyperlink" Target="https://www.inrs.fr/publications/bdd/fichetox/fiche.html?refINRS=FICHETOX_49" TargetMode="External"/><Relationship Id="rId44" Type="http://schemas.openxmlformats.org/officeDocument/2006/relationships/hyperlink" Target="https://www.inrs.fr/publications/bdd/fichetox/fiche.html?refINRS=FICHETOX_49&amp;section=VLEPMesurage" TargetMode="External"/><Relationship Id="rId49" Type="http://schemas.openxmlformats.org/officeDocument/2006/relationships/hyperlink" Target="https://www.inrs.fr/publications/bdd/fichetox/fiche.html?refINRS=FICHETOX_49&amp;section=bibliographieAuteurs" TargetMode="External"/><Relationship Id="rId43" Type="http://schemas.openxmlformats.org/officeDocument/2006/relationships/hyperlink" Target="https://www.inrs.fr/publications/bdd/fichetox/fiche.html?refINRS=FICHETOX_49&amp;section=caracteristiques" TargetMode="External"/><Relationship Id="rId42" Type="http://schemas.openxmlformats.org/officeDocument/2006/relationships/hyperlink" Target="https://www.inrs.fr/publications/bdd/fichetox/fiche.html?refINRS=FICHETOX_49&amp;section=generalites" TargetMode="External"/><Relationship Id="rId45" Type="http://schemas.openxmlformats.org/officeDocument/2006/relationships/hyperlink" Target="https://www.inrs.fr/publications/bdd/fichetox/fiche.html?refINRS=FICHETOX_49&amp;section=incendieExplosion" TargetMode="External"/><Relationship Id="rId46" Type="http://schemas.openxmlformats.org/officeDocument/2006/relationships/hyperlink" Target="https://www.inrs.fr/publications/bdd/fichetox/fiche.html?refINRS=FICHETOX_49&amp;section=pathologieToxicologie" TargetMode="External"/><Relationship Id="rId48" Type="http://schemas.openxmlformats.org/officeDocument/2006/relationships/hyperlink" Target="https://www.inrs.fr/publications/bdd/fichetox/fiche.html?refINRS=FICHETOX_49&amp;section=recommandations" TargetMode="External"/><Relationship Id="rId47" Type="http://schemas.openxmlformats.org/officeDocument/2006/relationships/hyperlink" Target="https://www.inrs.fr/publications/bdd/fichetox/fiche.html?refINRS=FICHETOX_49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1" Type="http://schemas.openxmlformats.org/officeDocument/2006/relationships/hyperlink" Target="https://www.inrs.fr/publications/bdd/fichetox/fiche.html?refINRS=FICHETOX_49" TargetMode="External"/><Relationship Id="rId44" Type="http://schemas.openxmlformats.org/officeDocument/2006/relationships/hyperlink" Target="https://www.inrs.fr/publications/bdd/fichetox/fiche.html?refINRS=FICHETOX_49&amp;section=VLEPMesurage" TargetMode="External"/><Relationship Id="rId49" Type="http://schemas.openxmlformats.org/officeDocument/2006/relationships/hyperlink" Target="https://www.inrs.fr/publications/bdd/fichetox/fiche.html?refINRS=FICHETOX_49&amp;section=bibliographieAuteurs" TargetMode="External"/><Relationship Id="rId43" Type="http://schemas.openxmlformats.org/officeDocument/2006/relationships/hyperlink" Target="https://www.inrs.fr/publications/bdd/fichetox/fiche.html?refINRS=FICHETOX_49&amp;section=caracteristiques" TargetMode="External"/><Relationship Id="rId42" Type="http://schemas.openxmlformats.org/officeDocument/2006/relationships/hyperlink" Target="https://www.inrs.fr/publications/bdd/fichetox/fiche.html?refINRS=FICHETOX_49&amp;section=generalites" TargetMode="External"/><Relationship Id="rId45" Type="http://schemas.openxmlformats.org/officeDocument/2006/relationships/hyperlink" Target="https://www.inrs.fr/publications/bdd/fichetox/fiche.html?refINRS=FICHETOX_49&amp;section=incendieExplosion" TargetMode="External"/><Relationship Id="rId46" Type="http://schemas.openxmlformats.org/officeDocument/2006/relationships/hyperlink" Target="https://www.inrs.fr/publications/bdd/fichetox/fiche.html?refINRS=FICHETOX_49&amp;section=pathologieToxicologie" TargetMode="External"/><Relationship Id="rId48" Type="http://schemas.openxmlformats.org/officeDocument/2006/relationships/hyperlink" Target="https://www.inrs.fr/publications/bdd/fichetox/fiche.html?refINRS=FICHETOX_49&amp;section=recommandations" TargetMode="External"/><Relationship Id="rId47" Type="http://schemas.openxmlformats.org/officeDocument/2006/relationships/hyperlink" Target="https://www.inrs.fr/publications/bdd/fichetox/fiche.html?refINRS=FICHETOX_49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2026-06-16T12:23:10Z</dcterms:created>
  <dcterms:modified xsi:type="dcterms:W3CDTF">2026-06-16T12:23:10Z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