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chloroforme</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Thermo Fisher Scientific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2026-06-16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chloroforme</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7" w:name="analyse-des-dangers-chloroforme"/>
    <w:p>
      <w:pPr>
        <w:pStyle w:val="Heading1"/>
      </w:pPr>
      <w:r>
        <w:t xml:space="preserve">Analyse des dangers : chloroforme</w:t>
      </w:r>
    </w:p>
    <w:p>
      <w:pPr>
        <w:pStyle w:val="FirstParagraph"/>
      </w:pPr>
      <w:r>
        <w:t xml:space="preserve">Dans la suite, nous détaillons les dangers associés au produit</w:t>
      </w:r>
      <w:r>
        <w:t xml:space="preserve"> </w:t>
      </w:r>
      <w:r>
        <w:rPr>
          <w:b/>
          <w:bCs/>
        </w:rPr>
        <w:t xml:space="preserve">chloroforme</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Thermo Fisher Scientific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 recommandée : substances chimiques de laboratoire.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2024-07-02</w:t>
            </w:r>
          </w:p>
        </w:tc>
      </w:tr>
    </w:tbl>
    <w:p>
      <w:pPr>
        <w:pStyle w:val="BodyText"/>
      </w:pPr>
      <w:r>
        <w:t xml:space="preserve"> </w:t>
      </w:r>
      <w:r>
        <w:t xml:space="preserve">La FDS date du 2024-07-02. Elle a donc 1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9"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Toxicité aiguë" title="" id="31" name="Picture"/>
            <a:graphic>
              <a:graphicData uri="http://schemas.openxmlformats.org/drawingml/2006/picture">
                <pic:pic>
                  <pic:nvPicPr>
                    <pic:cNvPr descr="templates/SGH06.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Toxicité aiguë</w:t>
      </w:r>
      <w:r>
        <w:t xml:space="preserve"> </w:t>
      </w: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r>
        <w:t xml:space="preserve"> </w:t>
      </w:r>
      <w:r>
        <w:drawing>
          <wp:inline>
            <wp:extent cx="719999" cy="719999"/>
            <wp:effectExtent b="0" l="0" r="0" t="0"/>
            <wp:docPr descr="Grave pour la santé" title="" id="37" name="Picture"/>
            <a:graphic>
              <a:graphicData uri="http://schemas.openxmlformats.org/drawingml/2006/picture">
                <pic:pic>
                  <pic:nvPicPr>
                    <pic:cNvPr descr="templates/SGH08.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p>
    <w:p>
      <w:pPr>
        <w:pStyle w:val="BodyText"/>
      </w:pPr>
      <w:r>
        <w:rPr>
          <w:b/>
          <w:bCs/>
        </w:rPr>
        <w:t xml:space="preserve">Mentions de danger</w:t>
      </w:r>
      <w:r>
        <w:t xml:space="preserve"> </w:t>
      </w:r>
      <w:r>
        <w:t xml:space="preserve">:</w:t>
      </w:r>
    </w:p>
    <w:p>
      <w:pPr>
        <w:numPr>
          <w:ilvl w:val="0"/>
          <w:numId w:val="1003"/>
        </w:numPr>
      </w:pPr>
      <w:r>
        <w:t xml:space="preserve">H302</w:t>
      </w:r>
      <w:r>
        <w:t xml:space="preserve"> </w:t>
      </w:r>
      <w:r>
        <w:t xml:space="preserve">Nocif en cas d’ingestion.</w:t>
      </w:r>
    </w:p>
    <w:p>
      <w:pPr>
        <w:numPr>
          <w:ilvl w:val="0"/>
          <w:numId w:val="1003"/>
        </w:numPr>
      </w:pPr>
      <w:r>
        <w:t xml:space="preserve">H315</w:t>
      </w:r>
      <w:r>
        <w:t xml:space="preserve"> </w:t>
      </w:r>
      <w:r>
        <w:t xml:space="preserve">Provoque une irritation cutanée.</w:t>
      </w:r>
    </w:p>
    <w:p>
      <w:pPr>
        <w:numPr>
          <w:ilvl w:val="0"/>
          <w:numId w:val="1003"/>
        </w:numPr>
      </w:pPr>
      <w:r>
        <w:t xml:space="preserve">H319</w:t>
      </w:r>
      <w:r>
        <w:t xml:space="preserve"> </w:t>
      </w:r>
      <w:r>
        <w:t xml:space="preserve">Provoque une sévère irritation des yeux.</w:t>
      </w:r>
    </w:p>
    <w:p>
      <w:pPr>
        <w:numPr>
          <w:ilvl w:val="0"/>
          <w:numId w:val="1003"/>
        </w:numPr>
      </w:pPr>
      <w:r>
        <w:t xml:space="preserve">H331</w:t>
      </w:r>
      <w:r>
        <w:t xml:space="preserve"> </w:t>
      </w:r>
      <w:r>
        <w:t xml:space="preserve">Toxique par inhalation.</w:t>
      </w:r>
    </w:p>
    <w:p>
      <w:pPr>
        <w:numPr>
          <w:ilvl w:val="0"/>
          <w:numId w:val="1003"/>
        </w:numPr>
      </w:pPr>
      <w:r>
        <w:t xml:space="preserve">H336</w:t>
      </w:r>
      <w:r>
        <w:t xml:space="preserve"> </w:t>
      </w:r>
      <w:r>
        <w:t xml:space="preserve">Peut provoquer somnolence ou vertiges.</w:t>
      </w:r>
    </w:p>
    <w:p>
      <w:pPr>
        <w:numPr>
          <w:ilvl w:val="0"/>
          <w:numId w:val="1003"/>
        </w:numPr>
      </w:pPr>
      <w:r>
        <w:t xml:space="preserve">H351</w:t>
      </w:r>
      <w:r>
        <w:t xml:space="preserve"> </w:t>
      </w:r>
      <w:r>
        <w:t xml:space="preserve">Susceptible de provoquer le cancer.</w:t>
      </w:r>
    </w:p>
    <w:p>
      <w:pPr>
        <w:numPr>
          <w:ilvl w:val="0"/>
          <w:numId w:val="1003"/>
        </w:numPr>
      </w:pPr>
      <w:r>
        <w:t xml:space="preserve">H372</w:t>
      </w:r>
      <w:r>
        <w:t xml:space="preserve"> </w:t>
      </w:r>
      <w:r>
        <w:t xml:space="preserve">Risque avéré d’effets graves pour les organes à la suite d’expositions répétées ou d’une exposition prolongée.</w:t>
      </w:r>
    </w:p>
    <w:p>
      <w:pPr>
        <w:pStyle w:val="FirstParagraph"/>
      </w:pPr>
      <w:r>
        <w:rPr>
          <w:b/>
          <w:bCs/>
        </w:rPr>
        <w:t xml:space="preserve">Conseils de prudence</w:t>
      </w:r>
      <w:r>
        <w:t xml:space="preserve"> </w:t>
      </w:r>
      <w:r>
        <w:t xml:space="preserve">:</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P302+P352</w:t>
      </w:r>
      <w:r>
        <w:t xml:space="preserve"> </w:t>
      </w:r>
      <w:r>
        <w:t xml:space="preserve">EN CAS DE CONTACT AVEC LA PEAU:</w:t>
      </w:r>
    </w:p>
    <w:p>
      <w:pPr>
        <w:numPr>
          <w:ilvl w:val="0"/>
          <w:numId w:val="1004"/>
        </w:numPr>
      </w:pPr>
      <w:r>
        <w:t xml:space="preserve">P304+P340</w:t>
      </w:r>
      <w:r>
        <w:t xml:space="preserve"> </w:t>
      </w:r>
      <w:r>
        <w:t xml:space="preserve">EN CAS D’INHALATION:</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P311</w:t>
      </w:r>
      <w:r>
        <w:t xml:space="preserve"> </w:t>
      </w:r>
      <w:r>
        <w:t xml:space="preserve">EN CAS d’exposition ou de malaise: appeler un CENTRE ANTIPOISON ou un médecin.</w:t>
      </w:r>
    </w:p>
    <w:p>
      <w:pPr>
        <w:pStyle w:val="FirstParagraph"/>
      </w:pPr>
      <w:r>
        <w:rPr>
          <w:b/>
          <w:bCs/>
        </w:rPr>
        <w:t xml:space="preserve">Transport</w:t>
      </w:r>
      <w:r>
        <w:t xml:space="preserve"> </w:t>
      </w:r>
      <w:r>
        <w:t xml:space="preserve">:</w:t>
      </w:r>
    </w:p>
    <w:p>
      <w:pPr>
        <w:pStyle w:val="Compact"/>
        <w:numPr>
          <w:ilvl w:val="0"/>
          <w:numId w:val="1005"/>
        </w:numPr>
      </w:pPr>
      <w:r>
        <w:t xml:space="preserve">ADR : 6.1 – Groupe d’emballage III</w:t>
      </w:r>
    </w:p>
    <w:p>
      <w:pPr>
        <w:pStyle w:val="Compact"/>
        <w:numPr>
          <w:ilvl w:val="0"/>
          <w:numId w:val="1005"/>
        </w:numPr>
      </w:pPr>
      <w:r>
        <w:t xml:space="preserve">RID : - pas disponible</w:t>
      </w:r>
    </w:p>
    <w:p>
      <w:pPr>
        <w:pStyle w:val="Compact"/>
        <w:numPr>
          <w:ilvl w:val="0"/>
          <w:numId w:val="1005"/>
        </w:numPr>
      </w:pPr>
      <w:r>
        <w:t xml:space="preserve">ADN : - pas disponible</w:t>
      </w:r>
    </w:p>
    <w:p>
      <w:pPr>
        <w:pStyle w:val="Compact"/>
        <w:numPr>
          <w:ilvl w:val="0"/>
          <w:numId w:val="1005"/>
        </w:numPr>
      </w:pPr>
      <w:r>
        <w:t xml:space="preserve">IMDG : 6.1 – Groupe d’emballage III</w:t>
      </w:r>
    </w:p>
    <w:p>
      <w:pPr>
        <w:pStyle w:val="Compact"/>
        <w:numPr>
          <w:ilvl w:val="0"/>
          <w:numId w:val="1005"/>
        </w:numPr>
      </w:pPr>
      <w:r>
        <w:t xml:space="preserve">IATA : 6.1 – Groupe d’emballage III</w:t>
      </w:r>
    </w:p>
    <w:p>
      <w:pPr>
        <w:pStyle w:val="Compact"/>
        <w:numPr>
          <w:ilvl w:val="0"/>
          <w:numId w:val="1005"/>
        </w:numPr>
      </w:pPr>
      <w:r>
        <w:t xml:space="preserve">UN : 1888</w:t>
      </w:r>
    </w:p>
    <w:bookmarkEnd w:id="39"/>
    <w:bookmarkStart w:id="40" w:name="Xda6f178de632779b007ca26fa4959a763d2c7f4"/>
    <w:p>
      <w:pPr>
        <w:pStyle w:val="Heading2"/>
      </w:pPr>
      <w:r>
        <w:t xml:space="preserve">Dangers et/ou mesures par voie d’exposition</w:t>
      </w:r>
    </w:p>
    <w:p>
      <w:pPr>
        <w:pStyle w:val="FirstParagraph"/>
      </w:pPr>
      <w:r>
        <w:t xml:space="preserve">skin : • Rincer immédiatement et abondamment à l’eau pendant au moins 15 minutes.</w:t>
      </w:r>
      <w:r>
        <w:t xml:space="preserve"> </w:t>
      </w:r>
      <w:r>
        <w:t xml:space="preserve">• Consulter immédiatemment un médecin.</w:t>
      </w:r>
    </w:p>
    <w:p>
      <w:pPr>
        <w:pStyle w:val="BodyText"/>
      </w:pPr>
      <w:r>
        <w:t xml:space="preserve">eyes : • Rincer immédiatement et abondamment à l’eau, y compris sous les paupières, pendant au moins 15 minutes.</w:t>
      </w:r>
      <w:r>
        <w:t xml:space="preserve"> </w:t>
      </w:r>
      <w:r>
        <w:t xml:space="preserve">• Consulter immédiatemment un médecin.</w:t>
      </w:r>
    </w:p>
    <w:p>
      <w:pPr>
        <w:pStyle w:val="BodyText"/>
      </w:pPr>
      <w:r>
        <w:t xml:space="preserve">ingestion : • NE PAS faire vomir.</w:t>
      </w:r>
      <w:r>
        <w:t xml:space="preserve"> </w:t>
      </w:r>
      <w:r>
        <w:t xml:space="preserve">• Consulter immédiatement un médecin ou un centre antipoison.</w:t>
      </w:r>
    </w:p>
    <w:p>
      <w:pPr>
        <w:pStyle w:val="BodyText"/>
      </w:pPr>
      <w:r>
        <w:t xml:space="preserve">inhalation : • Transporter la victime à l’air frais.</w:t>
      </w:r>
      <w:r>
        <w:t xml:space="preserve"> </w:t>
      </w:r>
      <w:r>
        <w:t xml:space="preserve">• En l’absence de respiration, pratiquer la respiration artificielle (ne pas pratiquer le bouche‑à‑bouche si la substance a été inhalée).</w:t>
      </w:r>
      <w:r>
        <w:t xml:space="preserve"> </w:t>
      </w:r>
      <w:r>
        <w:t xml:space="preserve">• Utiliser un masque respiratoire relié à un insufflateur manuel muni d’une valve anti‑retour ou tout autre dispositif respiratoire approprié.</w:t>
      </w:r>
      <w:r>
        <w:t xml:space="preserve"> </w:t>
      </w:r>
      <w:r>
        <w:t xml:space="preserve">• Consulter immédiatement un médecin.</w:t>
      </w:r>
    </w:p>
    <w:p>
      <w:r>
        <w:br w:type="page"/>
      </w:r>
    </w:p>
    <w:bookmarkEnd w:id="40"/>
    <w:bookmarkStart w:id="54" w:name="Xd3fd47f9279b52cc9d4b00e07bdfde0bea6594f"/>
    <w:p>
      <w:pPr>
        <w:pStyle w:val="Heading2"/>
      </w:pPr>
      <w:r>
        <w:t xml:space="preserve">Informations relatives aux substances dangereuses présentes</w:t>
      </w:r>
    </w:p>
    <w:bookmarkStart w:id="51" w:name="chloroforme"/>
    <w:p>
      <w:pPr>
        <w:pStyle w:val="Heading3"/>
      </w:pPr>
      <w:r>
        <w:t xml:space="preserve">Chloroforme</w:t>
      </w:r>
    </w:p>
    <w:p>
      <w:pPr>
        <w:pStyle w:val="FirstParagraph"/>
      </w:pPr>
      <w:r>
        <w:rPr>
          <w:b/>
          <w:bCs/>
        </w:rPr>
        <w:t xml:space="preserve">Identification</w:t>
      </w:r>
    </w:p>
    <w:p>
      <w:pPr>
        <w:pStyle w:val="Compact"/>
        <w:numPr>
          <w:ilvl w:val="0"/>
          <w:numId w:val="1006"/>
        </w:numPr>
      </w:pPr>
      <w:r>
        <w:t xml:space="preserve">N° CAS : 67-66-3</w:t>
      </w:r>
    </w:p>
    <w:p>
      <w:pPr>
        <w:pStyle w:val="Compact"/>
        <w:numPr>
          <w:ilvl w:val="0"/>
          <w:numId w:val="1006"/>
        </w:numPr>
      </w:pPr>
      <w:r>
        <w:t xml:space="preserve">N° EINECS : 200-663-8</w:t>
      </w:r>
    </w:p>
    <w:p>
      <w:pPr>
        <w:pStyle w:val="FirstParagraph"/>
      </w:pPr>
      <w:r>
        <w:rPr>
          <w:b/>
          <w:bCs/>
        </w:rPr>
        <w:t xml:space="preserve">Concentration</w:t>
      </w:r>
      <w:r>
        <w:t xml:space="preserve"> </w:t>
      </w:r>
      <w:r>
        <w:t xml:space="preserve">:greater or equal to 99.0</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H315</w:t>
      </w:r>
      <w:r>
        <w:t xml:space="preserve"> </w:t>
      </w:r>
      <w:r>
        <w:t xml:space="preserve">Provoque une irritation cutanée.</w:t>
      </w:r>
    </w:p>
    <w:p>
      <w:pPr>
        <w:numPr>
          <w:ilvl w:val="0"/>
          <w:numId w:val="1007"/>
        </w:numPr>
      </w:pPr>
      <w:r>
        <w:t xml:space="preserve">H319</w:t>
      </w:r>
      <w:r>
        <w:t xml:space="preserve"> </w:t>
      </w:r>
      <w:r>
        <w:t xml:space="preserve">Provoque une sévère irritation des yeux.</w:t>
      </w:r>
    </w:p>
    <w:p>
      <w:pPr>
        <w:numPr>
          <w:ilvl w:val="0"/>
          <w:numId w:val="1007"/>
        </w:numPr>
      </w:pPr>
      <w:r>
        <w:t xml:space="preserve">H331</w:t>
      </w:r>
      <w:r>
        <w:t xml:space="preserve"> </w:t>
      </w:r>
      <w:r>
        <w:t xml:space="preserve">Toxique par inhalation.</w:t>
      </w:r>
    </w:p>
    <w:p>
      <w:pPr>
        <w:numPr>
          <w:ilvl w:val="0"/>
          <w:numId w:val="1007"/>
        </w:numPr>
      </w:pPr>
      <w:r>
        <w:t xml:space="preserve">H336</w:t>
      </w:r>
      <w:r>
        <w:t xml:space="preserve"> </w:t>
      </w:r>
      <w:r>
        <w:t xml:space="preserve">Peut provoquer somnolence ou vertiges.</w:t>
      </w:r>
    </w:p>
    <w:p>
      <w:pPr>
        <w:numPr>
          <w:ilvl w:val="0"/>
          <w:numId w:val="1007"/>
        </w:numPr>
      </w:pPr>
      <w:r>
        <w:t xml:space="preserve">H351</w:t>
      </w:r>
      <w:r>
        <w:t xml:space="preserve"> </w:t>
      </w:r>
      <w:r>
        <w:t xml:space="preserve">Susceptible de provoquer le cancer.</w:t>
      </w:r>
    </w:p>
    <w:p>
      <w:pPr>
        <w:numPr>
          <w:ilvl w:val="0"/>
          <w:numId w:val="1007"/>
        </w:numPr>
      </w:pPr>
      <w:r>
        <w:t xml:space="preserve">H372</w:t>
      </w:r>
      <w:r>
        <w:t xml:space="preserve"> </w:t>
      </w:r>
      <w:r>
        <w:t xml:space="preserve">Risque avéré d’effets graves pour les organes à la suite d’expositions répétées ou d’une exposition prolongée.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2.0 - VLE-8h (mg/m³) : 10.0</w:t>
            </w:r>
          </w:p>
        </w:tc>
      </w:tr>
    </w:tbl>
    <w:bookmarkStart w:id="50" w:name="propriétés"/>
    <w:p>
      <w:pPr>
        <w:pStyle w:val="Heading4"/>
      </w:pPr>
      <w:r>
        <w:t xml:space="preserve">Propriétés</w:t>
      </w:r>
    </w:p>
    <w:p>
      <w:pPr>
        <w:pStyle w:val="FirstParagraph"/>
      </w:pPr>
      <w:hyperlink r:id="rId41">
        <w:r>
          <w:rPr>
            <w:rStyle w:val="Hyperlink"/>
            <w:color w:val="0856A0"/>
            <w:u w:val="single"/>
          </w:rPr>
          <w:t xml:space="preserve">FICHEAoût 2020Fiche n°82 - ChloroformeFiche présentant l’essentiel des données d’hygiène et de sécurité relatives à« Chloroforme »avec un rappel de la réglementation française et des recommandations techniques et médicales.En savoir plus</w:t>
        </w:r>
      </w:hyperlink>
    </w:p>
    <w:p>
      <w:pPr>
        <w:numPr>
          <w:ilvl w:val="0"/>
          <w:numId w:val="1008"/>
        </w:numPr>
      </w:pPr>
      <w:hyperlink r:id="rId42">
        <w:r>
          <w:rPr>
            <w:rStyle w:val="Hyperlink"/>
            <w:color w:val="0856A0"/>
            <w:u w:val="single"/>
          </w:rPr>
          <w:t xml:space="preserve">Généralités</w:t>
        </w:r>
      </w:hyperlink>
    </w:p>
    <w:p>
      <w:pPr>
        <w:numPr>
          <w:ilvl w:val="0"/>
          <w:numId w:val="1008"/>
        </w:numPr>
      </w:pPr>
      <w:hyperlink r:id="rId43">
        <w:r>
          <w:rPr>
            <w:rStyle w:val="Hyperlink"/>
            <w:color w:val="0856A0"/>
            <w:u w:val="single"/>
          </w:rPr>
          <w:t xml:space="preserve">Caractéristiques</w:t>
        </w:r>
      </w:hyperlink>
    </w:p>
    <w:p>
      <w:pPr>
        <w:numPr>
          <w:ilvl w:val="0"/>
          <w:numId w:val="1008"/>
        </w:numPr>
      </w:pPr>
      <w:hyperlink r:id="rId44">
        <w:r>
          <w:rPr>
            <w:rStyle w:val="Hyperlink"/>
            <w:color w:val="0856A0"/>
            <w:u w:val="single"/>
          </w:rPr>
          <w:t xml:space="preserve">VLEPMesurage</w:t>
        </w:r>
      </w:hyperlink>
    </w:p>
    <w:p>
      <w:pPr>
        <w:numPr>
          <w:ilvl w:val="0"/>
          <w:numId w:val="1008"/>
        </w:numPr>
      </w:pPr>
      <w:hyperlink r:id="rId45">
        <w:r>
          <w:rPr>
            <w:rStyle w:val="Hyperlink"/>
            <w:color w:val="0856A0"/>
            <w:u w:val="single"/>
          </w:rPr>
          <w:t xml:space="preserve">Incendie - Explosion[34]</w:t>
        </w:r>
      </w:hyperlink>
    </w:p>
    <w:p>
      <w:pPr>
        <w:numPr>
          <w:ilvl w:val="0"/>
          <w:numId w:val="1008"/>
        </w:numPr>
      </w:pPr>
      <w:hyperlink r:id="rId46">
        <w:r>
          <w:rPr>
            <w:rStyle w:val="Hyperlink"/>
            <w:color w:val="0856A0"/>
            <w:u w:val="single"/>
          </w:rPr>
          <w:t xml:space="preserve">Pathologie - Toxicologie</w:t>
        </w:r>
      </w:hyperlink>
    </w:p>
    <w:p>
      <w:pPr>
        <w:numPr>
          <w:ilvl w:val="0"/>
          <w:numId w:val="1008"/>
        </w:numPr>
      </w:pPr>
      <w:hyperlink r:id="rId47">
        <w:r>
          <w:rPr>
            <w:rStyle w:val="Hyperlink"/>
            <w:color w:val="0856A0"/>
            <w:u w:val="single"/>
          </w:rPr>
          <w:t xml:space="preserve">Règlementation</w:t>
        </w:r>
      </w:hyperlink>
    </w:p>
    <w:p>
      <w:pPr>
        <w:numPr>
          <w:ilvl w:val="0"/>
          <w:numId w:val="1008"/>
        </w:numPr>
      </w:pPr>
      <w:hyperlink r:id="rId48">
        <w:r>
          <w:rPr>
            <w:rStyle w:val="Hyperlink"/>
            <w:color w:val="0856A0"/>
            <w:u w:val="single"/>
          </w:rPr>
          <w:t xml:space="preserve">Recommandations</w:t>
        </w:r>
      </w:hyperlink>
    </w:p>
    <w:p>
      <w:pPr>
        <w:numPr>
          <w:ilvl w:val="0"/>
          <w:numId w:val="1008"/>
        </w:numPr>
      </w:pPr>
      <w:hyperlink r:id="rId49">
        <w:r>
          <w:rPr>
            <w:rStyle w:val="Hyperlink"/>
            <w:color w:val="0856A0"/>
            <w:u w:val="single"/>
          </w:rPr>
          <w:t xml:space="preserve">Bibliographie</w:t>
        </w:r>
      </w:hyperlink>
    </w:p>
    <w:bookmarkEnd w:id="50"/>
    <w:bookmarkEnd w:id="51"/>
    <w:bookmarkStart w:id="53" w:name="pentene"/>
    <w:p>
      <w:pPr>
        <w:pStyle w:val="Heading3"/>
      </w:pPr>
      <w:r>
        <w:t xml:space="preserve">1-Pentene</w:t>
      </w:r>
    </w:p>
    <w:p>
      <w:pPr>
        <w:pStyle w:val="FirstParagraph"/>
      </w:pPr>
      <w:r>
        <w:rPr>
          <w:b/>
          <w:bCs/>
        </w:rPr>
        <w:t xml:space="preserve">Identification</w:t>
      </w:r>
    </w:p>
    <w:p>
      <w:pPr>
        <w:pStyle w:val="Compact"/>
        <w:numPr>
          <w:ilvl w:val="0"/>
          <w:numId w:val="1009"/>
        </w:numPr>
      </w:pPr>
      <w:r>
        <w:t xml:space="preserve">N° CAS : 109-67-1</w:t>
      </w:r>
    </w:p>
    <w:p>
      <w:pPr>
        <w:pStyle w:val="Compact"/>
        <w:numPr>
          <w:ilvl w:val="0"/>
          <w:numId w:val="1009"/>
        </w:numPr>
      </w:pPr>
      <w:r>
        <w:t xml:space="preserve">N° EINECS : 203-694-5</w:t>
      </w:r>
    </w:p>
    <w:p>
      <w:pPr>
        <w:pStyle w:val="FirstParagraph"/>
      </w:pPr>
      <w:r>
        <w:rPr>
          <w:b/>
          <w:bCs/>
        </w:rPr>
        <w:t xml:space="preserve">Concentration</w:t>
      </w:r>
      <w:r>
        <w:t xml:space="preserve"> </w:t>
      </w:r>
      <w:r>
        <w:t xml:space="preserve">:from 0.01 to 0.01</w:t>
      </w:r>
    </w:p>
    <w:p>
      <w:pPr>
        <w:pStyle w:val="BodyText"/>
      </w:pPr>
      <w:r>
        <w:rPr>
          <w:b/>
          <w:bCs/>
        </w:rPr>
        <w:t xml:space="preserve">Dangers</w:t>
      </w:r>
      <w:r>
        <w:t xml:space="preserve"> </w:t>
      </w:r>
      <w:r>
        <w:t xml:space="preserve">:</w:t>
      </w:r>
    </w:p>
    <w:p>
      <w:pPr>
        <w:numPr>
          <w:ilvl w:val="0"/>
          <w:numId w:val="1010"/>
        </w:numPr>
      </w:pPr>
      <w:r>
        <w:t xml:space="preserve">H224</w:t>
      </w:r>
      <w:r>
        <w:t xml:space="preserve"> </w:t>
      </w:r>
      <w:r>
        <w:t xml:space="preserve">Liquide et vapeurs extrêmement inflammables.</w:t>
      </w:r>
    </w:p>
    <w:p>
      <w:pPr>
        <w:numPr>
          <w:ilvl w:val="0"/>
          <w:numId w:val="1010"/>
        </w:numPr>
      </w:pPr>
      <w:r>
        <w:t xml:space="preserve">H304</w:t>
      </w:r>
      <w:r>
        <w:t xml:space="preserve"> </w:t>
      </w:r>
      <w:r>
        <w:t xml:space="preserve">Peut être mortel en cas d’ingestion et de pénétration dans les voies respiratoires.</w:t>
      </w:r>
    </w:p>
    <w:p>
      <w:pPr>
        <w:numPr>
          <w:ilvl w:val="0"/>
          <w:numId w:val="1010"/>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2" w:name="propriétés-1"/>
    <w:p>
      <w:pPr>
        <w:pStyle w:val="Heading4"/>
      </w:pPr>
      <w:r>
        <w:t xml:space="preserve">Propriétés</w:t>
      </w:r>
    </w:p>
    <w:p>
      <w:pPr>
        <w:pStyle w:val="FirstParagraph"/>
      </w:pPr>
      <w:r>
        <w:t xml:space="preserve">Pas d’informations disponible.</w:t>
      </w:r>
    </w:p>
    <w:bookmarkEnd w:id="52"/>
    <w:bookmarkEnd w:id="53"/>
    <w:bookmarkEnd w:id="54"/>
    <w:bookmarkStart w:id="55"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 Matériau : Viton (R) – résistance à la pénétration &gt; 480 min, niveau 6, conforme à EN 374 (testé sous EN 374‑3). • Matériau : Néoprène – résistance à la pénétration &lt; 25 min, épaisseur 0,45 mm. • Matériau : Caoutchouc butyle – résistance à la pénétration &lt; 15 min, épaisseur 0,35 mm.</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Lunettes de protection – conforme à la norme européenne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 • Matériau : Viton (R) – résistance à la pénétration &gt; 480 min, niveau 6, conforme à EN 374 (testé sous EN 374‑3). • Matériau : Néoprène – résistance à la pénétration &lt; 25 min, épaisseur 0,45 mm. • Matériau : Caoutchouc butyle – résistance à la pénétration &lt; 15 min, épaisseur 0,35 mm.</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 – grande échelle / utilisation d’urgence • Appareil respiratoire – modèle approuvé NIOSH / MSHA ou norme européenne EN 136. • Filtre recommandé – type AX Marron (bas point d’ébullition, solvant organique), conforme à EN 371.</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Protection de la peau et du corps • Vêtements à manches longues – couvrant la peau exposée.</w:t>
            </w:r>
          </w:p>
        </w:tc>
      </w:tr>
    </w:tbl>
    <w:bookmarkEnd w:id="55"/>
    <w:bookmarkStart w:id="56"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Porter un équipement de protection individuelle/un équipement de protection du visage. Éviter tout contact avec les yeux, la peau ou les vêtements. Utiliser seulement sous une hotte contre les vapeurs de produits chimiques. Ne pas respirer les brouillards/vapeurs/aérosols. Ne pas avaler. En cas d’ingestion, consulter immédiatement un médecin.</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les récipients bien fermés, au sec et dans un endroit frais et bien ventilé. Protéger de la lumière du jour. Conserver sous atmosphère inerte. Protéger de l’humidité.</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 recommandée : substances chimiques de laboratoire.</w:t>
            </w:r>
          </w:p>
        </w:tc>
      </w:tr>
    </w:tbl>
    <w:bookmarkEnd w:id="56"/>
    <w:bookmarkEnd w:id="57"/>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23" Type="http://schemas.openxmlformats.org/officeDocument/2006/relationships/image" Target="media/rId23.png"/><Relationship Id="rId20" Type="http://schemas.openxmlformats.org/officeDocument/2006/relationships/image" Target="media/rId20.png"/><Relationship Id="rId41" Type="http://schemas.openxmlformats.org/officeDocument/2006/relationships/hyperlink" Target="https://www.inrs.fr/accueil/publications/bdd/fichetox/fiche.html?refINRS=FICHETOX_82" TargetMode="External"/><Relationship Id="rId44" Type="http://schemas.openxmlformats.org/officeDocument/2006/relationships/hyperlink" Target="https://www.inrs.fr/accueil/publications/bdd/fichetox/fiche.html?refINRS=FICHETOX_82&amp;section=VLEPMesurage" TargetMode="External"/><Relationship Id="rId49" Type="http://schemas.openxmlformats.org/officeDocument/2006/relationships/hyperlink" Target="https://www.inrs.fr/accueil/publications/bdd/fichetox/fiche.html?refINRS=FICHETOX_82&amp;section=bibliographieAuteurs" TargetMode="External"/><Relationship Id="rId43" Type="http://schemas.openxmlformats.org/officeDocument/2006/relationships/hyperlink" Target="https://www.inrs.fr/accueil/publications/bdd/fichetox/fiche.html?refINRS=FICHETOX_82&amp;section=caracteristiques" TargetMode="External"/><Relationship Id="rId42" Type="http://schemas.openxmlformats.org/officeDocument/2006/relationships/hyperlink" Target="https://www.inrs.fr/accueil/publications/bdd/fichetox/fiche.html?refINRS=FICHETOX_82&amp;section=generalites" TargetMode="External"/><Relationship Id="rId45" Type="http://schemas.openxmlformats.org/officeDocument/2006/relationships/hyperlink" Target="https://www.inrs.fr/accueil/publications/bdd/fichetox/fiche.html?refINRS=FICHETOX_82&amp;section=incendieExplosion" TargetMode="External"/><Relationship Id="rId46" Type="http://schemas.openxmlformats.org/officeDocument/2006/relationships/hyperlink" Target="https://www.inrs.fr/accueil/publications/bdd/fichetox/fiche.html?refINRS=FICHETOX_82&amp;section=pathologieToxicologie" TargetMode="External"/><Relationship Id="rId48" Type="http://schemas.openxmlformats.org/officeDocument/2006/relationships/hyperlink" Target="https://www.inrs.fr/accueil/publications/bdd/fichetox/fiche.html?refINRS=FICHETOX_82&amp;section=recommandations" TargetMode="External"/><Relationship Id="rId47" Type="http://schemas.openxmlformats.org/officeDocument/2006/relationships/hyperlink" Target="https://www.inrs.fr/accueil/publications/bdd/fichetox/fiche.html?refINRS=FICHETOX_82&amp;section=reglementation" TargetMode="External"/></Relationships>
</file>

<file path=word/_rels/footnotes.xml.rels><?xml version='1.0' encoding='UTF-8' standalone='yes'?>
<Relationships xmlns="http://schemas.openxmlformats.org/package/2006/relationships"><Relationship Id="rId41" Type="http://schemas.openxmlformats.org/officeDocument/2006/relationships/hyperlink" Target="https://www.inrs.fr/accueil/publications/bdd/fichetox/fiche.html?refINRS=FICHETOX_82" TargetMode="External"/><Relationship Id="rId44" Type="http://schemas.openxmlformats.org/officeDocument/2006/relationships/hyperlink" Target="https://www.inrs.fr/accueil/publications/bdd/fichetox/fiche.html?refINRS=FICHETOX_82&amp;section=VLEPMesurage" TargetMode="External"/><Relationship Id="rId49" Type="http://schemas.openxmlformats.org/officeDocument/2006/relationships/hyperlink" Target="https://www.inrs.fr/accueil/publications/bdd/fichetox/fiche.html?refINRS=FICHETOX_82&amp;section=bibliographieAuteurs" TargetMode="External"/><Relationship Id="rId43" Type="http://schemas.openxmlformats.org/officeDocument/2006/relationships/hyperlink" Target="https://www.inrs.fr/accueil/publications/bdd/fichetox/fiche.html?refINRS=FICHETOX_82&amp;section=caracteristiques" TargetMode="External"/><Relationship Id="rId42" Type="http://schemas.openxmlformats.org/officeDocument/2006/relationships/hyperlink" Target="https://www.inrs.fr/accueil/publications/bdd/fichetox/fiche.html?refINRS=FICHETOX_82&amp;section=generalites" TargetMode="External"/><Relationship Id="rId45" Type="http://schemas.openxmlformats.org/officeDocument/2006/relationships/hyperlink" Target="https://www.inrs.fr/accueil/publications/bdd/fichetox/fiche.html?refINRS=FICHETOX_82&amp;section=incendieExplosion" TargetMode="External"/><Relationship Id="rId46" Type="http://schemas.openxmlformats.org/officeDocument/2006/relationships/hyperlink" Target="https://www.inrs.fr/accueil/publications/bdd/fichetox/fiche.html?refINRS=FICHETOX_82&amp;section=pathologieToxicologie" TargetMode="External"/><Relationship Id="rId48" Type="http://schemas.openxmlformats.org/officeDocument/2006/relationships/hyperlink" Target="https://www.inrs.fr/accueil/publications/bdd/fichetox/fiche.html?refINRS=FICHETOX_82&amp;section=recommandations" TargetMode="External"/><Relationship Id="rId47" Type="http://schemas.openxmlformats.org/officeDocument/2006/relationships/hyperlink" Target="https://www.inrs.fr/accueil/publications/bdd/fichetox/fiche.html?refINRS=FICHETOX_82&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2026-06-16T12:27:04Z</dcterms:created>
  <dcterms:modified xsi:type="dcterms:W3CDTF">2026-06-16T12:27:04Z</dcterms:modified>
</cp:coreProperties>
</file>

<file path=docProps/custom.xml><?xml version="1.0" encoding="utf-8"?>
<Properties xmlns="http://schemas.openxmlformats.org/officeDocument/2006/custom-properties" xmlns:vt="http://schemas.openxmlformats.org/officeDocument/2006/docPropsVTypes"/>
</file>