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174501-65-6_1-butyl-3-methylimidazolium_tetrafluoroborate_2023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174501-65-6_1-butyl-3-methylimidazolium_tetrafluoroborate_2023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0c6665f4252071aaa2ee94105b8ac626fc96bd1"/>
    <w:p>
      <w:pPr>
        <w:pStyle w:val="Heading1"/>
      </w:pPr>
      <w:r>
        <w:t xml:space="preserve">Analyse des dangers : 174501-65-6_1-butyl-3-methylimidazolium_tetrafluoroborate_2023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174501-65-6_1-butyl-3-methylimidazolium_tetrafluoroborate_2023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Fisher Scientific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 chimique de laboratoire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2023-09-29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2023-09-29.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Toxicité aiguë" title="" id="31" name="Picture"/>
            <a:graphic>
              <a:graphicData uri="http://schemas.openxmlformats.org/drawingml/2006/picture">
                <pic:pic>
                  <pic:nvPicPr>
                    <pic:cNvPr descr="templates/SGH06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Toxicité aiguë</w:t>
      </w:r>
      <w:r>
        <w:t xml:space="preserve"> </w:t>
      </w: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P301+P310</w:t>
      </w:r>
      <w:r>
        <w:t xml:space="preserve"> </w:t>
      </w:r>
      <w:r>
        <w:t xml:space="preserve">EN CAS D’INGESTION:</w:t>
      </w:r>
    </w:p>
    <w:p>
      <w:pPr>
        <w:numPr>
          <w:ilvl w:val="0"/>
          <w:numId w:val="1004"/>
        </w:numPr>
      </w:pPr>
      <w:r>
        <w:t xml:space="preserve">P302+P352</w:t>
      </w:r>
      <w:r>
        <w:t xml:space="preserve"> </w:t>
      </w:r>
      <w:r>
        <w:t xml:space="preserve">EN CAS DE CONTACT AVEC LA PEAU:</w:t>
      </w:r>
    </w:p>
    <w:p>
      <w:pPr>
        <w:numPr>
          <w:ilvl w:val="0"/>
          <w:numId w:val="1004"/>
        </w:numPr>
      </w:pPr>
      <w:r>
        <w:t xml:space="preserve">P332+P313</w:t>
      </w:r>
      <w:r>
        <w:t xml:space="preserve"> </w:t>
      </w:r>
      <w:r>
        <w:t xml:space="preserve">En cas d’irritation cutanée: consulter un médecin.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Classe 6.1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Classe 6.1</w:t>
      </w:r>
    </w:p>
    <w:p>
      <w:pPr>
        <w:pStyle w:val="Compact"/>
        <w:numPr>
          <w:ilvl w:val="0"/>
          <w:numId w:val="1005"/>
        </w:numPr>
      </w:pPr>
      <w:r>
        <w:t xml:space="preserve">IATA : Classe 6.1</w:t>
      </w:r>
    </w:p>
    <w:p>
      <w:pPr>
        <w:pStyle w:val="Compact"/>
        <w:numPr>
          <w:ilvl w:val="0"/>
          <w:numId w:val="1005"/>
        </w:numPr>
      </w:pPr>
      <w:r>
        <w:t xml:space="preserve">UN : UN2810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immédiatement et abondamment à l’eau pendant au moins 15 minutes.</w:t>
      </w:r>
      <w:r>
        <w:t xml:space="preserve"> </w:t>
      </w:r>
      <w:r>
        <w:t xml:space="preserve">Consulter immédiatement un médecin.</w:t>
      </w:r>
    </w:p>
    <w:p>
      <w:pPr>
        <w:pStyle w:val="BodyText"/>
      </w:pPr>
      <w:r>
        <w:t xml:space="preserve">eyes : Rincer immédiatement et abondamment à l’eau, y compris sous les paupières, pendant au moins 15 minutes.</w:t>
      </w:r>
      <w:r>
        <w:t xml:space="preserve"> </w:t>
      </w:r>
      <w:r>
        <w:t xml:space="preserve">En cas de contact avec les yeux, rincer immédiatement et abondamment à l’eau et consulter un médecin.</w:t>
      </w:r>
    </w:p>
    <w:p>
      <w:pPr>
        <w:pStyle w:val="BodyText"/>
      </w:pPr>
      <w:r>
        <w:t xml:space="preserve">ingestion : NE PAS faire vomir.</w:t>
      </w:r>
      <w:r>
        <w:t xml:space="preserve"> </w:t>
      </w:r>
      <w:r>
        <w:t xml:space="preserve">Consulter immédiatement un médecin ou un centre antipoison.</w:t>
      </w:r>
    </w:p>
    <w:p>
      <w:pPr>
        <w:pStyle w:val="BodyText"/>
      </w:pPr>
      <w:r>
        <w:t xml:space="preserve">inhalation : Transporter la victime à l’air frais.</w:t>
      </w:r>
      <w:r>
        <w:t xml:space="preserve"> </w:t>
      </w:r>
      <w:r>
        <w:t xml:space="preserve">En cas d’absence de respiration, pratiquer la respiration artificielle.</w:t>
      </w:r>
      <w:r>
        <w:t xml:space="preserve"> </w:t>
      </w:r>
      <w:r>
        <w:t xml:space="preserve">Ne pas pratiquer le bouche‑à‑bouche si la substance a été inhalée ; utiliser un masque relié à un insufflateur manuel muni d’une valve anti‑retour ou tout autre dispositif respiratoire approprié.</w:t>
      </w:r>
      <w:r>
        <w:t xml:space="preserve"> </w:t>
      </w:r>
      <w:r>
        <w:t xml:space="preserve">Consulter immédiatement un médecin.</w:t>
      </w:r>
    </w:p>
    <w:p>
      <w:r>
        <w:br w:type="page"/>
      </w:r>
    </w:p>
    <w:bookmarkEnd w:id="37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9" w:name="X69e5542a70530c73a33e775777e5928349412d3"/>
    <w:p>
      <w:pPr>
        <w:pStyle w:val="Heading3"/>
      </w:pPr>
      <w:r>
        <w:t xml:space="preserve">1-Butyl-3-methylimidazolium tetrafluoroborate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174501-65-6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95.0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 • Caoutchouc nitrile (exigence minimale selon EN 374).</w:t>
            </w:r>
            <w:r>
              <w:rPr>
                <w:sz w:val="20"/>
                <w:szCs w:val="20"/>
              </w:rPr>
              <w:t xml:space="preserve"> • Néoprène (recommandé).</w:t>
            </w:r>
            <w:r>
              <w:rPr>
                <w:sz w:val="20"/>
                <w:szCs w:val="20"/>
              </w:rPr>
              <w:t xml:space="preserve"> • Caoutchouc naturel (selon fabricant).</w:t>
            </w:r>
            <w:r>
              <w:rPr>
                <w:sz w:val="20"/>
                <w:szCs w:val="20"/>
              </w:rPr>
              <w:t xml:space="preserve"> • PVC.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Conformes à la norme européenne EN 166.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– Pas d’autres exigences supplémentaires indiquées (pas de visière ou écran facial).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 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 • Caoutchouc nitrile (exigence minimale selon EN 374).</w:t>
            </w:r>
            <w:r>
              <w:rPr>
                <w:sz w:val="20"/>
                <w:szCs w:val="20"/>
              </w:rPr>
              <w:t xml:space="preserve"> • Néoprène (recommandé).</w:t>
            </w:r>
            <w:r>
              <w:rPr>
                <w:sz w:val="20"/>
                <w:szCs w:val="20"/>
              </w:rPr>
              <w:t xml:space="preserve"> • Caoutchouc naturel (selon fabricant).</w:t>
            </w:r>
            <w:r>
              <w:rPr>
                <w:sz w:val="20"/>
                <w:szCs w:val="20"/>
              </w:rPr>
              <w:t xml:space="preserve"> • PVC.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La section indique explicitement : « Protection respiratoire Aucun équipement de protection n’est exigé sous des conditions d’utilisation normale ».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Aucune recommandation de masque ou filtre n’est mentionnée.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 texte mentionne la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 Protection de la peau et du vêtement à manches longues 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mais ne fournit pas de modèle ou de matériau spécifique.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 Aucun détail supplémentaire (type, matériau, épaisseur) n’est fourni dans la Section 8.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Porter un équipement de protection individuelle/un équipement de protection du visage. - Éviter tout contact avec les yeux, la peau ou les vêtements. - Utiliser seulement sous une hotte contre les vapeurs de produits chimiques. - Ne pas respirer les brouillards/vapeurs/aérosols. - Ne pas avaler. - En cas d’ingestion, consulter immédiatement un médecin.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au sec, dans un endroit frais et bien ventilé. - Maintenir le récipient fermé de manière étanche. - Conserver sous azote.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substance chimique de laboratoire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2026-07-06T13:02:23Z</dcterms:created>
  <dcterms:modified xsi:type="dcterms:W3CDTF">2026-07-06T13:02:23Z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