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acidechlorhydrique1nvwr</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Merck Life Science BV/SRL</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acidechlorhydrique1nvwr</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9" w:name="Xc479b8febe870bd99d3b238b3c3dd12d084a9ef"/>
    <w:p>
      <w:pPr>
        <w:pStyle w:val="Heading1"/>
      </w:pPr>
      <w:r>
        <w:t xml:space="preserve">Analyse des dangers : acidechlorhydrique1nvwr</w:t>
      </w:r>
    </w:p>
    <w:p>
      <w:pPr>
        <w:pStyle w:val="FirstParagraph"/>
      </w:pPr>
      <w:r>
        <w:t xml:space="preserve">Dans la suite, nous détaillons les dangers associés au produit</w:t>
      </w:r>
      <w:r>
        <w:t xml:space="preserve"> </w:t>
      </w:r>
      <w:r>
        <w:rPr>
          <w:b/>
          <w:bCs/>
        </w:rPr>
        <w:t xml:space="preserve">acidechlorhydrique1nvwr</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Merck Life Science BV/SRL</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&lt; 1</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Réactif pour analyses.</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2025-09-25</w:t>
            </w:r>
          </w:p>
        </w:tc>
      </w:tr>
    </w:tbl>
    <w:p>
      <w:pPr>
        <w:pStyle w:val="BodyText"/>
      </w:pPr>
      <w:r>
        <w:t xml:space="preserve"> </w:t>
      </w:r>
      <w:r>
        <w:t xml:space="preserve">La FDS date du 2025-09-25. Elle a donc 0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Acide chlorhydrique devrait être classée H331 selon les dernières classifications harmonisées publiées par l’ECHA</w:t>
      </w:r>
      <w:r>
        <w:br/>
      </w:r>
    </w:p>
    <w:p>
      <w:pPr>
        <w:pStyle w:val="Compact"/>
        <w:numPr>
          <w:ilvl w:val="0"/>
          <w:numId w:val="1003"/>
        </w:numPr>
      </w:pPr>
      <w:r>
        <w:t xml:space="preserve">Le pH du produit impose la classification H314</w:t>
      </w:r>
      <w:r>
        <w:br/>
      </w:r>
    </w:p>
    <w:p>
      <w:pPr>
        <w:pStyle w:val="Compact"/>
        <w:numPr>
          <w:ilvl w:val="0"/>
          <w:numId w:val="1003"/>
        </w:numPr>
      </w:pPr>
      <w:r>
        <w:t xml:space="preserve">Le produit doit avoir la classification supplémentaire [</w:t>
      </w:r>
      <w:r>
        <w:t xml:space="preserve">‘</w:t>
      </w:r>
      <w:r>
        <w:t xml:space="preserve">H314</w:t>
      </w:r>
      <w:r>
        <w:t xml:space="preserve">’</w:t>
      </w:r>
      <w:r>
        <w:t xml:space="preserve">].</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rPr>
          <w:b/>
          <w:bCs/>
        </w:rPr>
        <w:t xml:space="preserve">Mentions de danger</w:t>
      </w:r>
      <w:r>
        <w:t xml:space="preserve"> </w:t>
      </w:r>
      <w:r>
        <w:t xml:space="preserve">:</w:t>
      </w:r>
    </w:p>
    <w:p>
      <w:pPr>
        <w:pStyle w:val="Compact"/>
        <w:numPr>
          <w:ilvl w:val="0"/>
          <w:numId w:val="1004"/>
        </w:numPr>
      </w:pPr>
      <w:r>
        <w:t xml:space="preserve">H290</w:t>
      </w:r>
      <w:r>
        <w:t xml:space="preserve"> </w:t>
      </w:r>
      <w:r>
        <w:t xml:space="preserve">Peut être corrosif pour les métaux.</w:t>
      </w:r>
    </w:p>
    <w:p>
      <w:pPr>
        <w:pStyle w:val="FirstParagraph"/>
      </w:pPr>
      <w:r>
        <w:rPr>
          <w:b/>
          <w:bCs/>
        </w:rPr>
        <w:t xml:space="preserve">Conseils de prudence</w:t>
      </w:r>
      <w:r>
        <w:t xml:space="preserve"> </w:t>
      </w:r>
      <w:r>
        <w:t xml:space="preserve">:</w:t>
      </w:r>
    </w:p>
    <w:p>
      <w:pPr>
        <w:numPr>
          <w:ilvl w:val="0"/>
          <w:numId w:val="1005"/>
        </w:numPr>
      </w:pPr>
      <w:r>
        <w:t xml:space="preserve">P234</w:t>
      </w:r>
      <w:r>
        <w:t xml:space="preserve"> </w:t>
      </w:r>
      <w:r>
        <w:t xml:space="preserve">Conserver uniquement dans le récipient d’origine.</w:t>
      </w:r>
    </w:p>
    <w:p>
      <w:pPr>
        <w:numPr>
          <w:ilvl w:val="0"/>
          <w:numId w:val="1005"/>
        </w:numPr>
      </w:pPr>
      <w:r>
        <w:t xml:space="preserve">P390</w:t>
      </w:r>
      <w:r>
        <w:t xml:space="preserve"> </w:t>
      </w:r>
      <w:r>
        <w:t xml:space="preserve">Absorber toute substance répandue pour éviter qu’elle attaque les matériaux environnants.</w:t>
      </w:r>
    </w:p>
    <w:p>
      <w:pPr>
        <w:pStyle w:val="FirstParagraph"/>
      </w:pPr>
      <w:r>
        <w:rPr>
          <w:b/>
          <w:bCs/>
        </w:rPr>
        <w:t xml:space="preserve">Transport</w:t>
      </w:r>
      <w:r>
        <w:t xml:space="preserve"> </w:t>
      </w:r>
      <w:r>
        <w:t xml:space="preserve">:</w:t>
      </w:r>
    </w:p>
    <w:p>
      <w:pPr>
        <w:pStyle w:val="Compact"/>
        <w:numPr>
          <w:ilvl w:val="0"/>
          <w:numId w:val="1006"/>
        </w:numPr>
      </w:pPr>
      <w:r>
        <w:t xml:space="preserve">ADR : 8</w:t>
      </w:r>
    </w:p>
    <w:p>
      <w:pPr>
        <w:pStyle w:val="Compact"/>
        <w:numPr>
          <w:ilvl w:val="0"/>
          <w:numId w:val="1006"/>
        </w:numPr>
      </w:pPr>
      <w:r>
        <w:t xml:space="preserve">RID : -</w:t>
      </w:r>
    </w:p>
    <w:p>
      <w:pPr>
        <w:pStyle w:val="Compact"/>
        <w:numPr>
          <w:ilvl w:val="0"/>
          <w:numId w:val="1006"/>
        </w:numPr>
      </w:pPr>
      <w:r>
        <w:t xml:space="preserve">ADN : -</w:t>
      </w:r>
    </w:p>
    <w:p>
      <w:pPr>
        <w:pStyle w:val="Compact"/>
        <w:numPr>
          <w:ilvl w:val="0"/>
          <w:numId w:val="1006"/>
        </w:numPr>
      </w:pPr>
      <w:r>
        <w:t xml:space="preserve">IMDG : 8</w:t>
      </w:r>
    </w:p>
    <w:p>
      <w:pPr>
        <w:pStyle w:val="Compact"/>
        <w:numPr>
          <w:ilvl w:val="0"/>
          <w:numId w:val="1006"/>
        </w:numPr>
      </w:pPr>
      <w:r>
        <w:t xml:space="preserve">IATA : 8</w:t>
      </w:r>
    </w:p>
    <w:p>
      <w:pPr>
        <w:pStyle w:val="Compact"/>
        <w:numPr>
          <w:ilvl w:val="0"/>
          <w:numId w:val="1006"/>
        </w:numPr>
      </w:pPr>
      <w:r>
        <w:t xml:space="preserve">UN : UN 1789</w:t>
      </w:r>
    </w:p>
    <w:bookmarkEnd w:id="33"/>
    <w:bookmarkStart w:id="34" w:name="Xda6f178de632779b007ca26fa4959a763d2c7f4"/>
    <w:p>
      <w:pPr>
        <w:pStyle w:val="Heading2"/>
      </w:pPr>
      <w:r>
        <w:t xml:space="preserve">Dangers et/ou mesures par voie d’exposition</w:t>
      </w:r>
    </w:p>
    <w:p>
      <w:pPr>
        <w:pStyle w:val="FirstParagraph"/>
      </w:pPr>
      <w:r>
        <w:t xml:space="preserve">skin : Enlever immédiatement tous les vêtements contaminés. Rincer la peau à l’eau ou se doucher.</w:t>
      </w:r>
    </w:p>
    <w:p>
      <w:pPr>
        <w:pStyle w:val="BodyText"/>
      </w:pPr>
      <w:r>
        <w:t xml:space="preserve">eyes : Rincer abondamment à l’eau. Consulter un ophtalmologiste. Enlever les lentilles de contact.</w:t>
      </w:r>
    </w:p>
    <w:p>
      <w:pPr>
        <w:pStyle w:val="BodyText"/>
      </w:pPr>
      <w:r>
        <w:t xml:space="preserve">ingestion : Faire boire de l’eau (maximum 2 verres). En cas de malaise, consulter un médecin.</w:t>
      </w:r>
    </w:p>
    <w:p>
      <w:pPr>
        <w:pStyle w:val="BodyText"/>
      </w:pPr>
      <w:r>
        <w:t xml:space="preserve">inhalation : Faire respirer de l’air frais.</w:t>
      </w:r>
    </w:p>
    <w:p>
      <w:r>
        <w:br w:type="page"/>
      </w:r>
    </w:p>
    <w:bookmarkEnd w:id="34"/>
    <w:bookmarkStart w:id="46" w:name="Xd3fd47f9279b52cc9d4b00e07bdfde0bea6594f"/>
    <w:p>
      <w:pPr>
        <w:pStyle w:val="Heading2"/>
      </w:pPr>
      <w:r>
        <w:t xml:space="preserve">Informations relatives aux substances dangereuses présentes</w:t>
      </w:r>
    </w:p>
    <w:bookmarkStart w:id="45" w:name="acide-chlorhydrique"/>
    <w:p>
      <w:pPr>
        <w:pStyle w:val="Heading3"/>
      </w:pPr>
      <w:r>
        <w:t xml:space="preserve">Acide chlorhydrique</w:t>
      </w:r>
    </w:p>
    <w:p>
      <w:pPr>
        <w:pStyle w:val="FirstParagraph"/>
      </w:pPr>
      <w:r>
        <w:rPr>
          <w:b/>
          <w:bCs/>
        </w:rPr>
        <w:t xml:space="preserve">Identification</w:t>
      </w:r>
    </w:p>
    <w:p>
      <w:pPr>
        <w:pStyle w:val="Compact"/>
        <w:numPr>
          <w:ilvl w:val="0"/>
          <w:numId w:val="1007"/>
        </w:numPr>
      </w:pPr>
      <w:r>
        <w:t xml:space="preserve">N° CAS : 7647-01-0</w:t>
      </w:r>
    </w:p>
    <w:p>
      <w:pPr>
        <w:pStyle w:val="Compact"/>
        <w:numPr>
          <w:ilvl w:val="0"/>
          <w:numId w:val="1007"/>
        </w:numPr>
      </w:pPr>
      <w:r>
        <w:t xml:space="preserve">N° EINECS : None</w:t>
      </w:r>
    </w:p>
    <w:p>
      <w:pPr>
        <w:pStyle w:val="FirstParagraph"/>
      </w:pPr>
      <w:r>
        <w:rPr>
          <w:b/>
          <w:bCs/>
        </w:rPr>
        <w:t xml:space="preserve">Concentration</w:t>
      </w:r>
      <w:r>
        <w:t xml:space="preserve"> </w:t>
      </w:r>
      <w:r>
        <w:t xml:space="preserve">:from 1.0 to 5.0</w:t>
      </w:r>
    </w:p>
    <w:p>
      <w:pPr>
        <w:pStyle w:val="BodyText"/>
      </w:pPr>
      <w:r>
        <w:rPr>
          <w:b/>
          <w:bCs/>
        </w:rPr>
        <w:t xml:space="preserve">Dangers</w:t>
      </w:r>
      <w:r>
        <w:t xml:space="preserve"> </w:t>
      </w:r>
      <w:r>
        <w:t xml:space="preserve">:</w:t>
      </w:r>
    </w:p>
    <w:p>
      <w:pPr>
        <w:numPr>
          <w:ilvl w:val="0"/>
          <w:numId w:val="1008"/>
        </w:numPr>
      </w:pPr>
      <w:r>
        <w:t xml:space="preserve">H290</w:t>
      </w:r>
      <w:r>
        <w:t xml:space="preserve"> </w:t>
      </w:r>
      <w:r>
        <w:t xml:space="preserve">Peut être corrosif pour les métaux.</w:t>
      </w:r>
    </w:p>
    <w:p>
      <w:pPr>
        <w:numPr>
          <w:ilvl w:val="0"/>
          <w:numId w:val="1008"/>
        </w:numPr>
      </w:pPr>
      <w:r>
        <w:t xml:space="preserve">H314</w:t>
      </w:r>
      <w:r>
        <w:t xml:space="preserve"> </w:t>
      </w:r>
      <w:r>
        <w:t xml:space="preserve">Provoque des brûlures de la peau et des lésions oculaires graves.</w:t>
      </w:r>
    </w:p>
    <w:p>
      <w:pPr>
        <w:numPr>
          <w:ilvl w:val="0"/>
          <w:numId w:val="1008"/>
        </w:numPr>
      </w:pPr>
      <w:r>
        <w:t xml:space="preserve">H318</w:t>
      </w:r>
      <w:r>
        <w:t xml:space="preserve"> </w:t>
      </w:r>
      <w:r>
        <w:t xml:space="preserve">Provoque des lésions oculaires graves.</w:t>
      </w:r>
    </w:p>
    <w:p>
      <w:pPr>
        <w:numPr>
          <w:ilvl w:val="0"/>
          <w:numId w:val="1008"/>
        </w:numPr>
      </w:pPr>
      <w:r>
        <w:t xml:space="preserve">H331</w:t>
      </w:r>
      <w:r>
        <w:t xml:space="preserve"> </w:t>
      </w:r>
      <w:r>
        <w:t xml:space="preserve">Toxique par inhalation.</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5.0 - VLE-8h (mg/m³) : 8.0 - VLE-15min (ppm) : 10.0 - VLE-15min (mg/m³) : 15.0</w:t>
            </w:r>
          </w:p>
        </w:tc>
      </w:tr>
    </w:tbl>
    <w:bookmarkStart w:id="44" w:name="propriétés"/>
    <w:p>
      <w:pPr>
        <w:pStyle w:val="Heading4"/>
      </w:pPr>
      <w:r>
        <w:t xml:space="preserve">Propriétés</w:t>
      </w:r>
    </w:p>
    <w:p>
      <w:pPr>
        <w:pStyle w:val="FirstParagraph"/>
      </w:pPr>
      <w:hyperlink r:id="rId35">
        <w:r>
          <w:rPr>
            <w:rStyle w:val="Hyperlink"/>
            <w:color w:val="0856A0"/>
            <w:u w:val="single"/>
          </w:rPr>
          <w:t xml:space="preserve">FICHEFévrier 2019Fiche n°13 - Chlorure d’hydrogène (ou acide chlorhydrique) et solutions aqueusesFiche présentant l’essentiel des données d’hygiène et de sécurité relatives à« Chlorure d’hydrogène (ou acide chlorhydrique) et solutions aqueuses »avec un rappel de la réglementation française et des recommandations techniques et médicales.En savoir plus</w:t>
        </w:r>
      </w:hyperlink>
    </w:p>
    <w:p>
      <w:pPr>
        <w:numPr>
          <w:ilvl w:val="0"/>
          <w:numId w:val="1009"/>
        </w:numPr>
      </w:pPr>
      <w:hyperlink r:id="rId36">
        <w:r>
          <w:rPr>
            <w:rStyle w:val="Hyperlink"/>
            <w:color w:val="0856A0"/>
            <w:u w:val="single"/>
          </w:rPr>
          <w:t xml:space="preserve">Généralités</w:t>
        </w:r>
      </w:hyperlink>
    </w:p>
    <w:p>
      <w:pPr>
        <w:numPr>
          <w:ilvl w:val="0"/>
          <w:numId w:val="1009"/>
        </w:numPr>
      </w:pPr>
      <w:hyperlink r:id="rId37">
        <w:r>
          <w:rPr>
            <w:rStyle w:val="Hyperlink"/>
            <w:color w:val="0856A0"/>
            <w:u w:val="single"/>
          </w:rPr>
          <w:t xml:space="preserve">Caractéristiques</w:t>
        </w:r>
      </w:hyperlink>
    </w:p>
    <w:p>
      <w:pPr>
        <w:numPr>
          <w:ilvl w:val="0"/>
          <w:numId w:val="1009"/>
        </w:numPr>
      </w:pPr>
      <w:hyperlink r:id="rId38">
        <w:r>
          <w:rPr>
            <w:rStyle w:val="Hyperlink"/>
            <w:color w:val="0856A0"/>
            <w:u w:val="single"/>
          </w:rPr>
          <w:t xml:space="preserve">VLEPMesurage</w:t>
        </w:r>
      </w:hyperlink>
    </w:p>
    <w:p>
      <w:pPr>
        <w:numPr>
          <w:ilvl w:val="0"/>
          <w:numId w:val="1009"/>
        </w:numPr>
      </w:pPr>
      <w:hyperlink r:id="rId39">
        <w:r>
          <w:rPr>
            <w:rStyle w:val="Hyperlink"/>
            <w:color w:val="0856A0"/>
            <w:u w:val="single"/>
          </w:rPr>
          <w:t xml:space="preserve">Incendie - Explosion[34-36]</w:t>
        </w:r>
      </w:hyperlink>
    </w:p>
    <w:p>
      <w:pPr>
        <w:numPr>
          <w:ilvl w:val="0"/>
          <w:numId w:val="1009"/>
        </w:numPr>
      </w:pPr>
      <w:hyperlink r:id="rId40">
        <w:r>
          <w:rPr>
            <w:rStyle w:val="Hyperlink"/>
            <w:color w:val="0856A0"/>
            <w:u w:val="single"/>
          </w:rPr>
          <w:t xml:space="preserve">Pathologie - Toxicologie</w:t>
        </w:r>
      </w:hyperlink>
    </w:p>
    <w:p>
      <w:pPr>
        <w:numPr>
          <w:ilvl w:val="0"/>
          <w:numId w:val="1009"/>
        </w:numPr>
      </w:pPr>
      <w:hyperlink r:id="rId41">
        <w:r>
          <w:rPr>
            <w:rStyle w:val="Hyperlink"/>
            <w:color w:val="0856A0"/>
            <w:u w:val="single"/>
          </w:rPr>
          <w:t xml:space="preserve">Règlementation</w:t>
        </w:r>
      </w:hyperlink>
    </w:p>
    <w:p>
      <w:pPr>
        <w:numPr>
          <w:ilvl w:val="0"/>
          <w:numId w:val="1009"/>
        </w:numPr>
      </w:pPr>
      <w:hyperlink r:id="rId42">
        <w:r>
          <w:rPr>
            <w:rStyle w:val="Hyperlink"/>
            <w:color w:val="0856A0"/>
            <w:u w:val="single"/>
          </w:rPr>
          <w:t xml:space="preserve">Recommandations</w:t>
        </w:r>
      </w:hyperlink>
    </w:p>
    <w:p>
      <w:pPr>
        <w:numPr>
          <w:ilvl w:val="0"/>
          <w:numId w:val="1009"/>
        </w:numPr>
      </w:pPr>
      <w:hyperlink r:id="rId43">
        <w:r>
          <w:rPr>
            <w:rStyle w:val="Hyperlink"/>
            <w:color w:val="0856A0"/>
            <w:u w:val="single"/>
          </w:rPr>
          <w:t xml:space="preserve">Bibliographie</w:t>
        </w:r>
      </w:hyperlink>
    </w:p>
    <w:bookmarkEnd w:id="44"/>
    <w:bookmarkEnd w:id="45"/>
    <w:bookmarkEnd w:id="46"/>
    <w:bookmarkStart w:id="47"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 Matériau : caoutchouc nitrile • Délai de rupture : 480 min • Épaisseur du gant : 0,11 mm • Indice de protection : - Contact total (pour les éclaboussures) - Contact par éclaboussures (pour les éclaboussures)</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des yeux / du visage • Lunettes de sécurité (type non précisé)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 Matériau : caoutchouc nitrile • Délai de rupture : 480 min • Épaisseur du gant : 0,11 mm • Indice de protection : - Contact total (pour les éclaboussures) - Contact par éclaboussures (pour les éclaboussures)</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Protection respiratoire • Filtre recommandé : E-(P2) • Utilisation : nécessaire en cas d’apparition de vapeurs/aérosols • Maintenance, nettoyage et contrôle : à exécuter conformément aux instructions du fabricant et à documenter</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Vêtements de protection / combinaisons • Vêtements de protection (type non précisé)</w:t>
            </w:r>
          </w:p>
        </w:tc>
      </w:tr>
    </w:tbl>
    <w:bookmarkEnd w:id="47"/>
    <w:bookmarkStart w:id="48"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Respecter les mises‑en‑garde de l’étiquette. - Enlever tout vêtement souillé. - Porter une protection préventive de la peau. - Se laver les mains après le travail.</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Pas de récipients en métal. - Stockage dans des contenants fermés correctement. - Classe de stockage (Allemagne : TRGS 510) : 12 – Substances liquides non combustibles. - Température de stockage recommandée indiquée sur l’étiquette du produit (voir section 7.2). Incompatibilités (section 10.5) - Réaction violente avec l’eau. - À éviter : métaux et alliages de métaux.</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Réactif pour analyses.</w:t>
            </w:r>
          </w:p>
        </w:tc>
      </w:tr>
    </w:tbl>
    <w:bookmarkEnd w:id="48"/>
    <w:bookmarkEnd w:id="49"/>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35" Type="http://schemas.openxmlformats.org/officeDocument/2006/relationships/hyperlink" Target="https://www.inrs.fr/accueil/publications/bdd/fichetox/fiche.html?refINRS=FICHETOX_13" TargetMode="External"/><Relationship Id="rId38" Type="http://schemas.openxmlformats.org/officeDocument/2006/relationships/hyperlink" Target="https://www.inrs.fr/accueil/publications/bdd/fichetox/fiche.html?refINRS=FICHETOX_13&amp;section=VLEPMesurage" TargetMode="External"/><Relationship Id="rId43" Type="http://schemas.openxmlformats.org/officeDocument/2006/relationships/hyperlink" Target="https://www.inrs.fr/accueil/publications/bdd/fichetox/fiche.html?refINRS=FICHETOX_13&amp;section=bibliographieAuteurs" TargetMode="External"/><Relationship Id="rId37" Type="http://schemas.openxmlformats.org/officeDocument/2006/relationships/hyperlink" Target="https://www.inrs.fr/accueil/publications/bdd/fichetox/fiche.html?refINRS=FICHETOX_13&amp;section=caracteristiques" TargetMode="External"/><Relationship Id="rId36" Type="http://schemas.openxmlformats.org/officeDocument/2006/relationships/hyperlink" Target="https://www.inrs.fr/accueil/publications/bdd/fichetox/fiche.html?refINRS=FICHETOX_13&amp;section=generalites" TargetMode="External"/><Relationship Id="rId39" Type="http://schemas.openxmlformats.org/officeDocument/2006/relationships/hyperlink" Target="https://www.inrs.fr/accueil/publications/bdd/fichetox/fiche.html?refINRS=FICHETOX_13&amp;section=incendieExplosion" TargetMode="External"/><Relationship Id="rId40" Type="http://schemas.openxmlformats.org/officeDocument/2006/relationships/hyperlink" Target="https://www.inrs.fr/accueil/publications/bdd/fichetox/fiche.html?refINRS=FICHETOX_13&amp;section=pathologieToxicologie" TargetMode="External"/><Relationship Id="rId42" Type="http://schemas.openxmlformats.org/officeDocument/2006/relationships/hyperlink" Target="https://www.inrs.fr/accueil/publications/bdd/fichetox/fiche.html?refINRS=FICHETOX_13&amp;section=recommandations" TargetMode="External"/><Relationship Id="rId41" Type="http://schemas.openxmlformats.org/officeDocument/2006/relationships/hyperlink" Target="https://www.inrs.fr/accueil/publications/bdd/fichetox/fiche.html?refINRS=FICHETOX_13&amp;section=reglementation" TargetMode="External"/></Relationships>
</file>

<file path=word/_rels/footnotes.xml.rels><?xml version='1.0' encoding='UTF-8' standalone='yes'?>
<Relationships xmlns="http://schemas.openxmlformats.org/package/2006/relationships"><Relationship Id="rId35" Type="http://schemas.openxmlformats.org/officeDocument/2006/relationships/hyperlink" Target="https://www.inrs.fr/accueil/publications/bdd/fichetox/fiche.html?refINRS=FICHETOX_13" TargetMode="External"/><Relationship Id="rId38" Type="http://schemas.openxmlformats.org/officeDocument/2006/relationships/hyperlink" Target="https://www.inrs.fr/accueil/publications/bdd/fichetox/fiche.html?refINRS=FICHETOX_13&amp;section=VLEPMesurage" TargetMode="External"/><Relationship Id="rId43" Type="http://schemas.openxmlformats.org/officeDocument/2006/relationships/hyperlink" Target="https://www.inrs.fr/accueil/publications/bdd/fichetox/fiche.html?refINRS=FICHETOX_13&amp;section=bibliographieAuteurs" TargetMode="External"/><Relationship Id="rId37" Type="http://schemas.openxmlformats.org/officeDocument/2006/relationships/hyperlink" Target="https://www.inrs.fr/accueil/publications/bdd/fichetox/fiche.html?refINRS=FICHETOX_13&amp;section=caracteristiques" TargetMode="External"/><Relationship Id="rId36" Type="http://schemas.openxmlformats.org/officeDocument/2006/relationships/hyperlink" Target="https://www.inrs.fr/accueil/publications/bdd/fichetox/fiche.html?refINRS=FICHETOX_13&amp;section=generalites" TargetMode="External"/><Relationship Id="rId39" Type="http://schemas.openxmlformats.org/officeDocument/2006/relationships/hyperlink" Target="https://www.inrs.fr/accueil/publications/bdd/fichetox/fiche.html?refINRS=FICHETOX_13&amp;section=incendieExplosion" TargetMode="External"/><Relationship Id="rId40" Type="http://schemas.openxmlformats.org/officeDocument/2006/relationships/hyperlink" Target="https://www.inrs.fr/accueil/publications/bdd/fichetox/fiche.html?refINRS=FICHETOX_13&amp;section=pathologieToxicologie" TargetMode="External"/><Relationship Id="rId42" Type="http://schemas.openxmlformats.org/officeDocument/2006/relationships/hyperlink" Target="https://www.inrs.fr/accueil/publications/bdd/fichetox/fiche.html?refINRS=FICHETOX_13&amp;section=recommandations" TargetMode="External"/><Relationship Id="rId41" Type="http://schemas.openxmlformats.org/officeDocument/2006/relationships/hyperlink" Target="https://www.inrs.fr/accueil/publications/bdd/fichetox/fiche.html?refINRS=FICHETOX_13&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2026-07-06T11:06:26Z</dcterms:created>
  <dcterms:modified xsi:type="dcterms:W3CDTF">2026-07-06T11:06:26Z</dcterms:modified>
</cp:coreProperties>
</file>

<file path=docProps/custom.xml><?xml version="1.0" encoding="utf-8"?>
<Properties xmlns="http://schemas.openxmlformats.org/officeDocument/2006/custom-properties" xmlns:vt="http://schemas.openxmlformats.org/officeDocument/2006/docPropsVTypes"/>
</file>