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actonetechniquevwr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actonetechniquevwr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2" w:name="analyse-des-dangers-actonetechniquevwr"/>
    <w:p>
      <w:pPr>
        <w:pStyle w:val="Heading1"/>
      </w:pPr>
      <w:r>
        <w:t xml:space="preserve">Analyse des dangers : actonetechniquevwr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actonetechniquevwr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VWR International SAS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5-6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chimique à usage général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2023-12-21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2023-12-21. Elle a donc 2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Acétone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Acétone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Acétone devrait être classée H336 selon les dernières classifications harmonisées publiées par l’ECHA</w:t>
      </w:r>
    </w:p>
    <w:bookmarkEnd w:id="28"/>
    <w:bookmarkEnd w:id="29"/>
    <w:bookmarkStart w:id="36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Inflammable" title="" id="31" name="Picture"/>
            <a:graphic>
              <a:graphicData uri="http://schemas.openxmlformats.org/drawingml/2006/picture">
                <pic:pic>
                  <pic:nvPicPr>
                    <pic:cNvPr descr="templates/SGH02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Inflammable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4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P210</w:t>
      </w:r>
      <w:r>
        <w:t xml:space="preserve"> </w:t>
      </w:r>
      <w:r>
        <w:t xml:space="preserve">P210</w:t>
      </w:r>
    </w:p>
    <w:p>
      <w:pPr>
        <w:numPr>
          <w:ilvl w:val="0"/>
          <w:numId w:val="1005"/>
        </w:numPr>
      </w:pPr>
      <w:r>
        <w:t xml:space="preserve">P243</w:t>
      </w:r>
      <w:r>
        <w:t xml:space="preserve"> </w:t>
      </w:r>
      <w:r>
        <w:t xml:space="preserve">Prendre des mesures de précaution contre les décharges électrostatiques.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P304+P340</w:t>
      </w:r>
      <w:r>
        <w:t xml:space="preserve"> </w:t>
      </w:r>
      <w:r>
        <w:t xml:space="preserve">EN CAS D’INHALATION: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P312</w:t>
      </w:r>
      <w:r>
        <w:t xml:space="preserve"> </w:t>
      </w:r>
      <w:r>
        <w:t xml:space="preserve">P312</w:t>
      </w:r>
    </w:p>
    <w:p>
      <w:pPr>
        <w:numPr>
          <w:ilvl w:val="0"/>
          <w:numId w:val="1005"/>
        </w:numPr>
      </w:pPr>
      <w:r>
        <w:t xml:space="preserve">P403+P235</w:t>
      </w:r>
      <w:r>
        <w:t xml:space="preserve"> </w:t>
      </w:r>
      <w:r>
        <w:t xml:space="preserve">Stocker dans un endroit bien ventilé. Tenir au frais.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3</w:t>
      </w:r>
    </w:p>
    <w:p>
      <w:pPr>
        <w:pStyle w:val="Compact"/>
        <w:numPr>
          <w:ilvl w:val="0"/>
          <w:numId w:val="1006"/>
        </w:numPr>
      </w:pPr>
      <w:r>
        <w:t xml:space="preserve">RID : 3</w:t>
      </w:r>
    </w:p>
    <w:p>
      <w:pPr>
        <w:pStyle w:val="Compact"/>
        <w:numPr>
          <w:ilvl w:val="0"/>
          <w:numId w:val="1006"/>
        </w:numPr>
      </w:pPr>
      <w:r>
        <w:t xml:space="preserve">ADN : pas disponible</w:t>
      </w:r>
    </w:p>
    <w:p>
      <w:pPr>
        <w:pStyle w:val="Compact"/>
        <w:numPr>
          <w:ilvl w:val="0"/>
          <w:numId w:val="1006"/>
        </w:numPr>
      </w:pPr>
      <w:r>
        <w:t xml:space="preserve">IMDG : 3</w:t>
      </w:r>
    </w:p>
    <w:p>
      <w:pPr>
        <w:pStyle w:val="Compact"/>
        <w:numPr>
          <w:ilvl w:val="0"/>
          <w:numId w:val="1006"/>
        </w:numPr>
      </w:pPr>
      <w:r>
        <w:t xml:space="preserve">IATA : 3</w:t>
      </w:r>
    </w:p>
    <w:p>
      <w:pPr>
        <w:pStyle w:val="Compact"/>
        <w:numPr>
          <w:ilvl w:val="0"/>
          <w:numId w:val="1006"/>
        </w:numPr>
      </w:pPr>
      <w:r>
        <w:t xml:space="preserve">UN : 1090</w:t>
      </w:r>
    </w:p>
    <w:bookmarkEnd w:id="36"/>
    <w:bookmarkStart w:id="37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immédiatement les vêtements contaminés.</w:t>
      </w:r>
      <w:r>
        <w:t xml:space="preserve"> </w:t>
      </w:r>
      <w:r>
        <w:t xml:space="preserve">Laver immédiatement la zone contaminée à l’eau courante.</w:t>
      </w:r>
    </w:p>
    <w:p>
      <w:pPr>
        <w:pStyle w:val="BodyText"/>
      </w:pPr>
      <w:r>
        <w:t xml:space="preserve">eyes : Rincer abondamment les yeux avec une douche oculaire ou de l’eau.</w:t>
      </w:r>
      <w:r>
        <w:t xml:space="preserve"> </w:t>
      </w:r>
      <w:r>
        <w:t xml:space="preserve">Enlever les lentilles de contact si la victime en porte et si elles peuvent être facilement retirées.</w:t>
      </w:r>
      <w:r>
        <w:t xml:space="preserve"> </w:t>
      </w:r>
      <w:r>
        <w:t xml:space="preserve">Continuer à rincer jusqu’à ce que l’irritation disparaisse.</w:t>
      </w:r>
    </w:p>
    <w:p>
      <w:pPr>
        <w:pStyle w:val="BodyText"/>
      </w:pPr>
      <w:r>
        <w:t xml:space="preserve">ingestion : Rincer la bouche abondamment à l’eau.</w:t>
      </w:r>
      <w:r>
        <w:t xml:space="preserve"> </w:t>
      </w:r>
      <w:r>
        <w:t xml:space="preserve">Si la victime est inconsciente ou présente des crampes, ne rien lui faire ingurgiter.</w:t>
      </w:r>
      <w:r>
        <w:t xml:space="preserve"> </w:t>
      </w:r>
      <w:r>
        <w:t xml:space="preserve">Appeler un centre antipoison.</w:t>
      </w:r>
    </w:p>
    <w:p>
      <w:pPr>
        <w:pStyle w:val="BodyText"/>
      </w:pPr>
      <w:r>
        <w:t xml:space="preserve">inhalation : Transporter la victime à l’air libre.</w:t>
      </w:r>
      <w:r>
        <w:t xml:space="preserve"> </w:t>
      </w:r>
      <w:r>
        <w:t xml:space="preserve">La maintenir dans une position confortable pour respirer.</w:t>
      </w:r>
      <w:r>
        <w:t xml:space="preserve"> </w:t>
      </w:r>
      <w:r>
        <w:t xml:space="preserve">La garder au chaud et au repos.</w:t>
      </w:r>
      <w:r>
        <w:t xml:space="preserve"> </w:t>
      </w:r>
      <w:r>
        <w:t xml:space="preserve">En cas d’irritation des voies respiratoires, consulter un médecin.</w:t>
      </w:r>
    </w:p>
    <w:p>
      <w:r>
        <w:br w:type="page"/>
      </w:r>
    </w:p>
    <w:bookmarkEnd w:id="37"/>
    <w:bookmarkStart w:id="49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8" w:name="acétone"/>
    <w:p>
      <w:pPr>
        <w:pStyle w:val="Heading3"/>
      </w:pPr>
      <w:r>
        <w:t xml:space="preserve">Acétone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67-64-1</w:t>
      </w:r>
    </w:p>
    <w:p>
      <w:pPr>
        <w:pStyle w:val="Compact"/>
        <w:numPr>
          <w:ilvl w:val="0"/>
          <w:numId w:val="1007"/>
        </w:numPr>
      </w:pPr>
      <w:r>
        <w:t xml:space="preserve">N° EINECS : 200-662-2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8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8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246.0 - VLE-8h (mg/m³) : 594.0 - VLE-15min (ppm) : 492.0 - VLE-15min (mg/m³) : 1187.0</w:t>
            </w:r>
          </w:p>
        </w:tc>
      </w:tr>
    </w:tbl>
    <w:bookmarkStart w:id="47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8">
        <w:r>
          <w:rPr>
            <w:rStyle w:val="Hyperlink"/>
            <w:color w:val="0856A0"/>
            <w:u w:val="single"/>
          </w:rPr>
          <w:t xml:space="preserve">FICHEOctobre 2018Fiche n°3 - AcétoneFiche présentant l’essentiel des données d’hygiène et de sécurité relatives à« Acétone »avec un rappel de la réglementation française et des recommandations techniques et médicales.En savoir plus</w:t>
        </w:r>
      </w:hyperlink>
    </w:p>
    <w:p>
      <w:pPr>
        <w:numPr>
          <w:ilvl w:val="0"/>
          <w:numId w:val="1009"/>
        </w:numPr>
      </w:pPr>
      <w:hyperlink r:id="rId39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9"/>
        </w:numPr>
      </w:pPr>
      <w:hyperlink r:id="rId40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9"/>
        </w:numPr>
      </w:pPr>
      <w:hyperlink r:id="rId41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9"/>
        </w:numPr>
      </w:pPr>
      <w:hyperlink r:id="rId42">
        <w:r>
          <w:rPr>
            <w:rStyle w:val="Hyperlink"/>
            <w:color w:val="0856A0"/>
            <w:u w:val="single"/>
          </w:rPr>
          <w:t xml:space="preserve">Incendie - Explosion[1-3, 26-28]</w:t>
        </w:r>
      </w:hyperlink>
    </w:p>
    <w:p>
      <w:pPr>
        <w:numPr>
          <w:ilvl w:val="0"/>
          <w:numId w:val="1009"/>
        </w:numPr>
      </w:pPr>
      <w:hyperlink r:id="rId43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9"/>
        </w:numPr>
      </w:pPr>
      <w:hyperlink r:id="rId44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9"/>
        </w:numPr>
      </w:pPr>
      <w:hyperlink r:id="rId45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9"/>
        </w:numPr>
      </w:pPr>
      <w:hyperlink r:id="rId46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7"/>
    <w:bookmarkEnd w:id="48"/>
    <w:bookmarkEnd w:id="49"/>
    <w:bookmarkStart w:id="50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butyl (pour contacts fréquents) ou CR (polychloroprènes, caoutchouc chloroprène) (pour contacts brèves). • Épaisseur : 0,75 mm (CR). • Temps de pénétration : &lt; 30 min (CR). • Modèles recommandés : VWR 112‑2308 (CR).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 Normes : DIN/EN 166 (lunettes avec protections sur les côtés). • Modèle recommandé : VWR 111‑0432.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Matériau : caoutchouc butyl (pour contacts fréquents) ou CR (polychloroprènes, caoutchouc chloroprène) (pour contacts brèves). • Épaisseur : 0,75 mm (CR). • Temps de pénétration : &lt; 30 min (CR). • Modèles recommandés : VWR 112‑2308 (CR).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Type : non précisé dans le texte, mais mentionné « appareil respiratoire autonome » pour les secouristes. • Utilisation : à porter lors de manipulations à découvert ou en présence de vapeurs.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Matériau : non précisé, mais mentionné « vêtements de protection appropriés avec marquage CE, incluant un numéro de contrôle à quatre chiffres ». • Utilisation : à porter lors de la manipulation de substances chimiques.</w:t>
            </w:r>
          </w:p>
        </w:tc>
      </w:tr>
    </w:tbl>
    <w:bookmarkEnd w:id="50"/>
    <w:bookmarkStart w:id="51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Les vapeurs peuvent former avec l’air un mélange explosif. - Utiliser l’équipement de protection individuel requis. - Utiliser une hotte aspirante (laboratoire). - Utiliser seulement dans des zones bien ventilées. - Éviter de respirer les vapeurs. - Éviter tout contact avec les yeux et la peau. - Mesures de prévention des incendies (à prévoir avant d’ouvrir l’emballage). - Éviter l’accumulation de charges électrostatiques. - Ne pas jeter les résidus à l’égout. - Recueillir le produit répandu. - Se laver les mains avant les pauses et à la fin du travail. - Fournir une douche oculaire et marquer clairement leur emplacement.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Température de stockage recommandée : 15 – 25 °C - Classe de stockage : 3 - Conservation : - Conserver le récipient bien fermé. - Stocker dans un endroit bien ventilé. - Tenir à l’écart de toute source de chaleur (ex. surfaces chaudes), des étincelles et des flammes directes. - Prendre des mesures de précaution contre les décharges électrostatiques. - Protéger du rayonnement solaire. - Matériel adéquat pour récipients/installations : - Verre - Polyéthylène haute densité (HDPE) - Acier inoxydable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Réactif chimique à usage général</w:t>
            </w:r>
          </w:p>
        </w:tc>
      </w:tr>
    </w:tbl>
    <w:bookmarkEnd w:id="51"/>
    <w:bookmarkEnd w:id="52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8" Type="http://schemas.openxmlformats.org/officeDocument/2006/relationships/hyperlink" Target="https://www.inrs.fr/accueil/publications/bdd/fichetox/fiche.html?refINRS=FICHETOX_3" TargetMode="External"/><Relationship Id="rId41" Type="http://schemas.openxmlformats.org/officeDocument/2006/relationships/hyperlink" Target="https://www.inrs.fr/accueil/publications/bdd/fichetox/fiche.html?refINRS=FICHETOX_3&amp;section=VLEPMesurage" TargetMode="External"/><Relationship Id="rId46" Type="http://schemas.openxmlformats.org/officeDocument/2006/relationships/hyperlink" Target="https://www.inrs.fr/accueil/publications/bdd/fichetox/fiche.html?refINRS=FICHETOX_3&amp;section=bibliographieAuteurs" TargetMode="External"/><Relationship Id="rId40" Type="http://schemas.openxmlformats.org/officeDocument/2006/relationships/hyperlink" Target="https://www.inrs.fr/accueil/publications/bdd/fichetox/fiche.html?refINRS=FICHETOX_3&amp;section=caracteristiques" TargetMode="External"/><Relationship Id="rId39" Type="http://schemas.openxmlformats.org/officeDocument/2006/relationships/hyperlink" Target="https://www.inrs.fr/accueil/publications/bdd/fichetox/fiche.html?refINRS=FICHETOX_3&amp;section=generalites" TargetMode="External"/><Relationship Id="rId42" Type="http://schemas.openxmlformats.org/officeDocument/2006/relationships/hyperlink" Target="https://www.inrs.fr/accueil/publications/bdd/fichetox/fiche.html?refINRS=FICHETOX_3&amp;section=incendieExplosion" TargetMode="External"/><Relationship Id="rId43" Type="http://schemas.openxmlformats.org/officeDocument/2006/relationships/hyperlink" Target="https://www.inrs.fr/accueil/publications/bdd/fichetox/fiche.html?refINRS=FICHETOX_3&amp;section=pathologieToxicologie" TargetMode="External"/><Relationship Id="rId45" Type="http://schemas.openxmlformats.org/officeDocument/2006/relationships/hyperlink" Target="https://www.inrs.fr/accueil/publications/bdd/fichetox/fiche.html?refINRS=FICHETOX_3&amp;section=recommandations" TargetMode="External"/><Relationship Id="rId44" Type="http://schemas.openxmlformats.org/officeDocument/2006/relationships/hyperlink" Target="https://www.inrs.fr/accueil/publications/bdd/fichetox/fiche.html?refINRS=FICHETOX_3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8" Type="http://schemas.openxmlformats.org/officeDocument/2006/relationships/hyperlink" Target="https://www.inrs.fr/accueil/publications/bdd/fichetox/fiche.html?refINRS=FICHETOX_3" TargetMode="External"/><Relationship Id="rId41" Type="http://schemas.openxmlformats.org/officeDocument/2006/relationships/hyperlink" Target="https://www.inrs.fr/accueil/publications/bdd/fichetox/fiche.html?refINRS=FICHETOX_3&amp;section=VLEPMesurage" TargetMode="External"/><Relationship Id="rId46" Type="http://schemas.openxmlformats.org/officeDocument/2006/relationships/hyperlink" Target="https://www.inrs.fr/accueil/publications/bdd/fichetox/fiche.html?refINRS=FICHETOX_3&amp;section=bibliographieAuteurs" TargetMode="External"/><Relationship Id="rId40" Type="http://schemas.openxmlformats.org/officeDocument/2006/relationships/hyperlink" Target="https://www.inrs.fr/accueil/publications/bdd/fichetox/fiche.html?refINRS=FICHETOX_3&amp;section=caracteristiques" TargetMode="External"/><Relationship Id="rId39" Type="http://schemas.openxmlformats.org/officeDocument/2006/relationships/hyperlink" Target="https://www.inrs.fr/accueil/publications/bdd/fichetox/fiche.html?refINRS=FICHETOX_3&amp;section=generalites" TargetMode="External"/><Relationship Id="rId42" Type="http://schemas.openxmlformats.org/officeDocument/2006/relationships/hyperlink" Target="https://www.inrs.fr/accueil/publications/bdd/fichetox/fiche.html?refINRS=FICHETOX_3&amp;section=incendieExplosion" TargetMode="External"/><Relationship Id="rId43" Type="http://schemas.openxmlformats.org/officeDocument/2006/relationships/hyperlink" Target="https://www.inrs.fr/accueil/publications/bdd/fichetox/fiche.html?refINRS=FICHETOX_3&amp;section=pathologieToxicologie" TargetMode="External"/><Relationship Id="rId45" Type="http://schemas.openxmlformats.org/officeDocument/2006/relationships/hyperlink" Target="https://www.inrs.fr/accueil/publications/bdd/fichetox/fiche.html?refINRS=FICHETOX_3&amp;section=recommandations" TargetMode="External"/><Relationship Id="rId44" Type="http://schemas.openxmlformats.org/officeDocument/2006/relationships/hyperlink" Target="https://www.inrs.fr/accueil/publications/bdd/fichetox/fiche.html?refINRS=FICHETOX_3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2026-07-06T11:06:08Z</dcterms:created>
  <dcterms:modified xsi:type="dcterms:W3CDTF">2026-07-06T11:06:08Z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