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apireagentbiomerieux20120</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apireagentbiomerieux20120</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90" w:name="X9c1ca8afc85bbd131316c82799978652a0029f5"/>
    <w:p>
      <w:pPr>
        <w:pStyle w:val="Heading1"/>
      </w:pPr>
      <w:r>
        <w:t xml:space="preserve">Analyse des dangers : apireagentbiomerieux20120</w:t>
      </w:r>
    </w:p>
    <w:p>
      <w:pPr>
        <w:pStyle w:val="FirstParagraph"/>
      </w:pPr>
      <w:r>
        <w:t xml:space="preserve">Dans la suite, nous détaillons les dangers associés au produit</w:t>
      </w:r>
      <w:r>
        <w:t xml:space="preserve"> </w:t>
      </w:r>
      <w:r>
        <w:rPr>
          <w:b/>
          <w:bCs/>
        </w:rPr>
        <w:t xml:space="preserve">apireagentbiomerieux20120</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Dispositif médical de diagnostic in vitro.</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2026-06-29</w:t>
            </w:r>
          </w:p>
        </w:tc>
      </w:tr>
    </w:tbl>
    <w:p>
      <w:pPr>
        <w:pStyle w:val="BodyText"/>
      </w:pPr>
      <w:r>
        <w:t xml:space="preserve"> </w:t>
      </w:r>
      <w:r>
        <w:t xml:space="preserve">La FDS date du 2026-06-29. Elle a donc 0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9"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Corrosif" title="" id="34" name="Picture"/>
            <a:graphic>
              <a:graphicData uri="http://schemas.openxmlformats.org/drawingml/2006/picture">
                <pic:pic>
                  <pic:nvPicPr>
                    <pic:cNvPr descr="templates/SGH05.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drawing>
          <wp:inline>
            <wp:extent cx="719999" cy="719999"/>
            <wp:effectExtent b="0" l="0" r="0" t="0"/>
            <wp:docPr descr="Nocif / Irritant" title="" id="37" name="Picture"/>
            <a:graphic>
              <a:graphicData uri="http://schemas.openxmlformats.org/drawingml/2006/picture">
                <pic:pic>
                  <pic:nvPicPr>
                    <pic:cNvPr descr="templates/SGH07.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H225</w:t>
      </w:r>
      <w:r>
        <w:t xml:space="preserve"> </w:t>
      </w:r>
      <w:r>
        <w:t xml:space="preserve">Liquide et vapeurs très inflammables.</w:t>
      </w:r>
    </w:p>
    <w:p>
      <w:pPr>
        <w:numPr>
          <w:ilvl w:val="0"/>
          <w:numId w:val="1003"/>
        </w:numPr>
      </w:pPr>
      <w:r>
        <w:t xml:space="preserve">H302</w:t>
      </w:r>
      <w:r>
        <w:t xml:space="preserve"> </w:t>
      </w:r>
      <w:r>
        <w:t xml:space="preserve">Nocif en cas d’ingestion.</w:t>
      </w:r>
    </w:p>
    <w:p>
      <w:pPr>
        <w:numPr>
          <w:ilvl w:val="0"/>
          <w:numId w:val="1003"/>
        </w:numPr>
      </w:pPr>
      <w:r>
        <w:t xml:space="preserve">H312</w:t>
      </w:r>
      <w:r>
        <w:t xml:space="preserve"> </w:t>
      </w:r>
      <w:r>
        <w:t xml:space="preserve">Nocif par contact cutané.</w:t>
      </w:r>
    </w:p>
    <w:p>
      <w:pPr>
        <w:numPr>
          <w:ilvl w:val="0"/>
          <w:numId w:val="1003"/>
        </w:numPr>
      </w:pPr>
      <w:r>
        <w:t xml:space="preserve">H314</w:t>
      </w:r>
      <w:r>
        <w:t xml:space="preserve"> </w:t>
      </w:r>
      <w:r>
        <w:t xml:space="preserve">Provoque des brûlures de la peau et des lésions oculaires graves.</w:t>
      </w:r>
    </w:p>
    <w:p>
      <w:pPr>
        <w:numPr>
          <w:ilvl w:val="0"/>
          <w:numId w:val="1003"/>
        </w:numPr>
      </w:pPr>
      <w:r>
        <w:t xml:space="preserve">H318</w:t>
      </w:r>
      <w:r>
        <w:t xml:space="preserve"> </w:t>
      </w:r>
      <w:r>
        <w:t xml:space="preserve">Provoque des lésions oculaires graves.</w:t>
      </w:r>
    </w:p>
    <w:p>
      <w:pPr>
        <w:numPr>
          <w:ilvl w:val="0"/>
          <w:numId w:val="1003"/>
        </w:numPr>
      </w:pPr>
      <w:r>
        <w:t xml:space="preserve">H412</w:t>
      </w:r>
      <w:r>
        <w:t xml:space="preserve"> </w:t>
      </w:r>
      <w:r>
        <w:t xml:space="preserve">Nocif pour les organismes aquatiques, entraîne des effets néfastes à long terme.</w:t>
      </w:r>
    </w:p>
    <w:p>
      <w:pPr>
        <w:pStyle w:val="FirstParagraph"/>
      </w:pPr>
      <w:r>
        <w:rPr>
          <w:b/>
          <w:bCs/>
        </w:rPr>
        <w:t xml:space="preserve">Conseils de prudence</w:t>
      </w:r>
      <w:r>
        <w:t xml:space="preserve"> </w:t>
      </w:r>
      <w:r>
        <w:t xml:space="preserve">:</w:t>
      </w:r>
    </w:p>
    <w:p>
      <w:pPr>
        <w:numPr>
          <w:ilvl w:val="0"/>
          <w:numId w:val="1004"/>
        </w:numPr>
      </w:pPr>
      <w:r>
        <w:t xml:space="preserve">P235</w:t>
      </w:r>
      <w:r>
        <w:t xml:space="preserve"> </w:t>
      </w:r>
      <w:r>
        <w:t xml:space="preserve">Tenir au frais.</w:t>
      </w:r>
    </w:p>
    <w:p>
      <w:pPr>
        <w:numPr>
          <w:ilvl w:val="0"/>
          <w:numId w:val="1004"/>
        </w:numPr>
      </w:pPr>
      <w:r>
        <w:t xml:space="preserve">P260</w:t>
      </w:r>
      <w:r>
        <w:t xml:space="preserve"> </w:t>
      </w:r>
      <w:r>
        <w:t xml:space="preserve">Ne pas respirer les poussières/fumées/gaz/brouillards/vapeurs/ aérosols.</w:t>
      </w:r>
    </w:p>
    <w:p>
      <w:pPr>
        <w:numPr>
          <w:ilvl w:val="0"/>
          <w:numId w:val="1004"/>
        </w:numPr>
      </w:pPr>
      <w:r>
        <w:t xml:space="preserve">P264</w:t>
      </w:r>
      <w:r>
        <w:t xml:space="preserve"> </w:t>
      </w:r>
      <w:r>
        <w:t xml:space="preserve">Se laver … soigneusement après manipulation.</w:t>
      </w:r>
    </w:p>
    <w:p>
      <w:pPr>
        <w:numPr>
          <w:ilvl w:val="0"/>
          <w:numId w:val="1004"/>
        </w:numPr>
      </w:pPr>
      <w:r>
        <w:t xml:space="preserve">P270</w:t>
      </w:r>
      <w:r>
        <w:t xml:space="preserve"> </w:t>
      </w:r>
      <w:r>
        <w:t xml:space="preserve">Ne pas manger, boire ou fumer en manipulant ce produit.</w:t>
      </w:r>
    </w:p>
    <w:p>
      <w:pPr>
        <w:numPr>
          <w:ilvl w:val="0"/>
          <w:numId w:val="1004"/>
        </w:numPr>
      </w:pPr>
      <w:r>
        <w:t xml:space="preserve">P273</w:t>
      </w:r>
      <w:r>
        <w:t xml:space="preserve"> </w:t>
      </w:r>
      <w:r>
        <w:t xml:space="preserve">Éviter le rejet dans l’environnement.</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P301+P312</w:t>
      </w:r>
      <w:r>
        <w:t xml:space="preserve"> </w:t>
      </w:r>
      <w:r>
        <w:t xml:space="preserve">EN CAS D’INGESTION:</w:t>
      </w:r>
    </w:p>
    <w:p>
      <w:pPr>
        <w:numPr>
          <w:ilvl w:val="0"/>
          <w:numId w:val="1004"/>
        </w:numPr>
      </w:pPr>
      <w:r>
        <w:t xml:space="preserve">P302+P352</w:t>
      </w:r>
      <w:r>
        <w:t xml:space="preserve"> </w:t>
      </w:r>
      <w:r>
        <w:t xml:space="preserve">EN CAS DE CONTACT AVEC LA PEAU:</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P330</w:t>
      </w:r>
      <w:r>
        <w:t xml:space="preserve"> </w:t>
      </w:r>
      <w:r>
        <w:t xml:space="preserve">Rincer la bouche.</w:t>
      </w:r>
    </w:p>
    <w:p>
      <w:pPr>
        <w:numPr>
          <w:ilvl w:val="0"/>
          <w:numId w:val="1004"/>
        </w:numPr>
      </w:pPr>
      <w:r>
        <w:t xml:space="preserve">P337+P313</w:t>
      </w:r>
      <w:r>
        <w:t xml:space="preserve"> </w:t>
      </w:r>
      <w:r>
        <w:t xml:space="preserve">Si l’irritation oculaire persiste: consulter un médecin.</w:t>
      </w:r>
    </w:p>
    <w:p>
      <w:pPr>
        <w:numPr>
          <w:ilvl w:val="0"/>
          <w:numId w:val="1004"/>
        </w:numPr>
      </w:pPr>
      <w:r>
        <w:t xml:space="preserve">P362+P364</w:t>
      </w:r>
      <w:r>
        <w:t xml:space="preserve"> </w:t>
      </w:r>
      <w:r>
        <w:t xml:space="preserve">Enlever les vêtements contaminés et les laver avant réutilisation</w:t>
      </w:r>
    </w:p>
    <w:p>
      <w:pPr>
        <w:numPr>
          <w:ilvl w:val="0"/>
          <w:numId w:val="1004"/>
        </w:numPr>
      </w:pPr>
      <w:r>
        <w:t xml:space="preserve">P403</w:t>
      </w:r>
      <w:r>
        <w:t xml:space="preserve"> </w:t>
      </w:r>
      <w:r>
        <w:t xml:space="preserve">Stocker dans un endroit bien ventilé.</w:t>
      </w:r>
    </w:p>
    <w:p>
      <w:pPr>
        <w:numPr>
          <w:ilvl w:val="0"/>
          <w:numId w:val="1004"/>
        </w:numPr>
      </w:pPr>
      <w:r>
        <w:t xml:space="preserve">P403+P233</w:t>
      </w:r>
      <w:r>
        <w:t xml:space="preserve"> </w:t>
      </w:r>
      <w:r>
        <w:t xml:space="preserve">Stocker dans un endroit bien ventilé. Maintenir le récipient fermé de manière étanche.</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classe 9</w:t>
      </w:r>
    </w:p>
    <w:p>
      <w:pPr>
        <w:pStyle w:val="Compact"/>
        <w:numPr>
          <w:ilvl w:val="0"/>
          <w:numId w:val="1005"/>
        </w:numPr>
      </w:pPr>
      <w:r>
        <w:t xml:space="preserve">RID : classe 9</w:t>
      </w:r>
    </w:p>
    <w:p>
      <w:pPr>
        <w:pStyle w:val="Compact"/>
        <w:numPr>
          <w:ilvl w:val="0"/>
          <w:numId w:val="1005"/>
        </w:numPr>
      </w:pPr>
      <w:r>
        <w:t xml:space="preserve">ADN : classe 9</w:t>
      </w:r>
    </w:p>
    <w:p>
      <w:pPr>
        <w:pStyle w:val="Compact"/>
        <w:numPr>
          <w:ilvl w:val="0"/>
          <w:numId w:val="1005"/>
        </w:numPr>
      </w:pPr>
      <w:r>
        <w:t xml:space="preserve">IMDG : classe 9</w:t>
      </w:r>
    </w:p>
    <w:p>
      <w:pPr>
        <w:pStyle w:val="Compact"/>
        <w:numPr>
          <w:ilvl w:val="0"/>
          <w:numId w:val="1005"/>
        </w:numPr>
      </w:pPr>
      <w:r>
        <w:t xml:space="preserve">IATA : classe 9</w:t>
      </w:r>
    </w:p>
    <w:p>
      <w:pPr>
        <w:pStyle w:val="Compact"/>
        <w:numPr>
          <w:ilvl w:val="0"/>
          <w:numId w:val="1005"/>
        </w:numPr>
      </w:pPr>
      <w:r>
        <w:t xml:space="preserve">UN : UN3316</w:t>
      </w:r>
    </w:p>
    <w:bookmarkEnd w:id="39"/>
    <w:bookmarkStart w:id="40" w:name="Xda6f178de632779b007ca26fa4959a763d2c7f4"/>
    <w:p>
      <w:pPr>
        <w:pStyle w:val="Heading2"/>
      </w:pPr>
      <w:r>
        <w:t xml:space="preserve">Dangers et/ou mesures par voie d’exposition</w:t>
      </w:r>
    </w:p>
    <w:p>
      <w:pPr>
        <w:pStyle w:val="FirstParagraph"/>
      </w:pPr>
      <w:r>
        <w:t xml:space="preserve">skin : Enlever immédiatement tous les vêtements contaminés.</w:t>
      </w:r>
      <w:r>
        <w:t xml:space="preserve"> </w:t>
      </w:r>
      <w:r>
        <w:t xml:space="preserve">Rincer immédiatement la peau à grande eau.</w:t>
      </w:r>
      <w:r>
        <w:t xml:space="preserve"> </w:t>
      </w:r>
      <w:r>
        <w:t xml:space="preserve">Consulter un médecin si une irritation se développe et persiste.</w:t>
      </w:r>
    </w:p>
    <w:p>
      <w:pPr>
        <w:pStyle w:val="BodyText"/>
      </w:pPr>
      <w:r>
        <w:t xml:space="preserve">eyes : Laver immédiatement les yeux à grande eau pendant au moins 15 minutes.</w:t>
      </w:r>
      <w:r>
        <w:t xml:space="preserve"> </w:t>
      </w:r>
      <w:r>
        <w:t xml:space="preserve">Les personnes portant des lentilles de contact doivent, autant que possible, les enlever.</w:t>
      </w:r>
      <w:r>
        <w:t xml:space="preserve"> </w:t>
      </w:r>
      <w:r>
        <w:t xml:space="preserve">Continuer à rincer continuellement.</w:t>
      </w:r>
      <w:r>
        <w:t xml:space="preserve"> </w:t>
      </w:r>
      <w:r>
        <w:t xml:space="preserve">Consulter un médecin si une irritation se développe et persiste.</w:t>
      </w:r>
    </w:p>
    <w:p>
      <w:pPr>
        <w:pStyle w:val="BodyText"/>
      </w:pPr>
      <w:r>
        <w:t xml:space="preserve">ingestion : Rincer soigneusement la bouche.</w:t>
      </w:r>
      <w:r>
        <w:t xml:space="preserve"> </w:t>
      </w:r>
      <w:r>
        <w:t xml:space="preserve">En cas d’ingestion, appeler immédiatement un centre antipoison ou un médecin.</w:t>
      </w:r>
    </w:p>
    <w:p>
      <w:pPr>
        <w:pStyle w:val="BodyText"/>
      </w:pPr>
      <w:r>
        <w:t xml:space="preserve">inhalation : Non disponible</w:t>
      </w:r>
    </w:p>
    <w:p>
      <w:r>
        <w:br w:type="page"/>
      </w:r>
    </w:p>
    <w:bookmarkEnd w:id="40"/>
    <w:bookmarkStart w:id="87" w:name="Xd3fd47f9279b52cc9d4b00e07bdfde0bea6594f"/>
    <w:p>
      <w:pPr>
        <w:pStyle w:val="Heading2"/>
      </w:pPr>
      <w:r>
        <w:t xml:space="preserve">Informations relatives aux substances dangereuses présentes</w:t>
      </w:r>
    </w:p>
    <w:bookmarkStart w:id="51" w:name="ethanol-alcool-éthylique"/>
    <w:p>
      <w:pPr>
        <w:pStyle w:val="Heading3"/>
      </w:pPr>
      <w:r>
        <w:t xml:space="preserve">ethanol; alcool éthylique</w:t>
      </w:r>
    </w:p>
    <w:p>
      <w:pPr>
        <w:pStyle w:val="FirstParagraph"/>
      </w:pPr>
      <w:r>
        <w:rPr>
          <w:b/>
          <w:bCs/>
        </w:rPr>
        <w:t xml:space="preserve">Identification</w:t>
      </w:r>
    </w:p>
    <w:p>
      <w:pPr>
        <w:pStyle w:val="Compact"/>
        <w:numPr>
          <w:ilvl w:val="0"/>
          <w:numId w:val="1006"/>
        </w:numPr>
      </w:pPr>
      <w:r>
        <w:t xml:space="preserve">N° CAS : 64-17-5</w:t>
      </w:r>
    </w:p>
    <w:p>
      <w:pPr>
        <w:pStyle w:val="Compact"/>
        <w:numPr>
          <w:ilvl w:val="0"/>
          <w:numId w:val="1006"/>
        </w:numPr>
      </w:pPr>
      <w:r>
        <w:t xml:space="preserve">N° EINECS : None</w:t>
      </w:r>
    </w:p>
    <w:p>
      <w:pPr>
        <w:pStyle w:val="FirstParagraph"/>
      </w:pPr>
      <w:r>
        <w:rPr>
          <w:b/>
          <w:bCs/>
        </w:rPr>
        <w:t xml:space="preserve">Concentration</w:t>
      </w:r>
      <w:r>
        <w:t xml:space="preserve"> </w:t>
      </w:r>
      <w:r>
        <w:t xml:space="preserve">:from 10.0 to 20.0</w:t>
      </w:r>
    </w:p>
    <w:p>
      <w:pPr>
        <w:pStyle w:val="BodyText"/>
      </w:pPr>
      <w:r>
        <w:rPr>
          <w:b/>
          <w:bCs/>
        </w:rPr>
        <w:t xml:space="preserve">Dangers</w:t>
      </w:r>
      <w:r>
        <w:t xml:space="preserve"> </w:t>
      </w:r>
      <w:r>
        <w:t xml:space="preserve">:</w:t>
      </w:r>
    </w:p>
    <w:p>
      <w:pPr>
        <w:numPr>
          <w:ilvl w:val="0"/>
          <w:numId w:val="1007"/>
        </w:numPr>
      </w:pPr>
      <w:r>
        <w:t xml:space="preserve">H225</w:t>
      </w:r>
      <w:r>
        <w:t xml:space="preserve"> </w:t>
      </w:r>
      <w:r>
        <w:t xml:space="preserve">Liquide et vapeurs très inflammables.</w:t>
      </w:r>
    </w:p>
    <w:p>
      <w:pPr>
        <w:numPr>
          <w:ilvl w:val="0"/>
          <w:numId w:val="1007"/>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1000.0 - VLE-8h (mg/m³) : 1907.0</w:t>
            </w:r>
          </w:p>
        </w:tc>
      </w:tr>
    </w:tbl>
    <w:bookmarkStart w:id="50" w:name="propriétés"/>
    <w:p>
      <w:pPr>
        <w:pStyle w:val="Heading4"/>
      </w:pPr>
      <w:r>
        <w:t xml:space="preserve">Propriétés</w:t>
      </w:r>
    </w:p>
    <w:p>
      <w:pPr>
        <w:pStyle w:val="FirstParagraph"/>
      </w:pPr>
      <w:hyperlink r:id="rId41">
        <w:r>
          <w:rPr>
            <w:rStyle w:val="Hyperlink"/>
            <w:color w:val="0856A0"/>
            <w:u w:val="single"/>
          </w:rPr>
          <w:t xml:space="preserve">FICHENovembre 2019Fiche n°48 - ÉthanolFiche présentant l’essentiel des données d’hygiène et de sécurité relatives à« Éthanol »avec un rappel de la réglementation française et des recommandations techniques et médicales.En savoir plus</w:t>
        </w:r>
      </w:hyperlink>
    </w:p>
    <w:p>
      <w:pPr>
        <w:numPr>
          <w:ilvl w:val="0"/>
          <w:numId w:val="1008"/>
        </w:numPr>
      </w:pPr>
      <w:hyperlink r:id="rId42">
        <w:r>
          <w:rPr>
            <w:rStyle w:val="Hyperlink"/>
            <w:color w:val="0856A0"/>
            <w:u w:val="single"/>
          </w:rPr>
          <w:t xml:space="preserve">Généralités</w:t>
        </w:r>
      </w:hyperlink>
    </w:p>
    <w:p>
      <w:pPr>
        <w:numPr>
          <w:ilvl w:val="0"/>
          <w:numId w:val="1008"/>
        </w:numPr>
      </w:pPr>
      <w:hyperlink r:id="rId43">
        <w:r>
          <w:rPr>
            <w:rStyle w:val="Hyperlink"/>
            <w:color w:val="0856A0"/>
            <w:u w:val="single"/>
          </w:rPr>
          <w:t xml:space="preserve">Caractéristiques</w:t>
        </w:r>
      </w:hyperlink>
    </w:p>
    <w:p>
      <w:pPr>
        <w:numPr>
          <w:ilvl w:val="0"/>
          <w:numId w:val="1008"/>
        </w:numPr>
      </w:pPr>
      <w:hyperlink r:id="rId44">
        <w:r>
          <w:rPr>
            <w:rStyle w:val="Hyperlink"/>
            <w:color w:val="0856A0"/>
            <w:u w:val="single"/>
          </w:rPr>
          <w:t xml:space="preserve">VLEPMesurage</w:t>
        </w:r>
      </w:hyperlink>
    </w:p>
    <w:p>
      <w:pPr>
        <w:numPr>
          <w:ilvl w:val="0"/>
          <w:numId w:val="1008"/>
        </w:numPr>
      </w:pPr>
      <w:hyperlink r:id="rId45">
        <w:r>
          <w:rPr>
            <w:rStyle w:val="Hyperlink"/>
            <w:color w:val="0856A0"/>
            <w:u w:val="single"/>
          </w:rPr>
          <w:t xml:space="preserve">Incendie - Explosion[2, 9, 17-19]</w:t>
        </w:r>
      </w:hyperlink>
    </w:p>
    <w:p>
      <w:pPr>
        <w:numPr>
          <w:ilvl w:val="0"/>
          <w:numId w:val="1008"/>
        </w:numPr>
      </w:pPr>
      <w:hyperlink r:id="rId46">
        <w:r>
          <w:rPr>
            <w:rStyle w:val="Hyperlink"/>
            <w:color w:val="0856A0"/>
            <w:u w:val="single"/>
          </w:rPr>
          <w:t xml:space="preserve">Pathologie - Toxicologie</w:t>
        </w:r>
      </w:hyperlink>
    </w:p>
    <w:p>
      <w:pPr>
        <w:numPr>
          <w:ilvl w:val="0"/>
          <w:numId w:val="1008"/>
        </w:numPr>
      </w:pPr>
      <w:hyperlink r:id="rId47">
        <w:r>
          <w:rPr>
            <w:rStyle w:val="Hyperlink"/>
            <w:color w:val="0856A0"/>
            <w:u w:val="single"/>
          </w:rPr>
          <w:t xml:space="preserve">Règlementation</w:t>
        </w:r>
      </w:hyperlink>
    </w:p>
    <w:p>
      <w:pPr>
        <w:numPr>
          <w:ilvl w:val="0"/>
          <w:numId w:val="1008"/>
        </w:numPr>
      </w:pPr>
      <w:hyperlink r:id="rId48">
        <w:r>
          <w:rPr>
            <w:rStyle w:val="Hyperlink"/>
            <w:color w:val="0856A0"/>
            <w:u w:val="single"/>
          </w:rPr>
          <w:t xml:space="preserve">Recommandations</w:t>
        </w:r>
      </w:hyperlink>
    </w:p>
    <w:p>
      <w:pPr>
        <w:numPr>
          <w:ilvl w:val="0"/>
          <w:numId w:val="1008"/>
        </w:numPr>
      </w:pPr>
      <w:hyperlink r:id="rId49">
        <w:r>
          <w:rPr>
            <w:rStyle w:val="Hyperlink"/>
            <w:color w:val="0856A0"/>
            <w:u w:val="single"/>
          </w:rPr>
          <w:t xml:space="preserve">Bibliographie</w:t>
        </w:r>
      </w:hyperlink>
    </w:p>
    <w:bookmarkEnd w:id="50"/>
    <w:bookmarkEnd w:id="51"/>
    <w:bookmarkStart w:id="62" w:name="acide-acétique-à"/>
    <w:p>
      <w:pPr>
        <w:pStyle w:val="Heading3"/>
      </w:pPr>
      <w:r>
        <w:t xml:space="preserve">acide acétique à …%</w:t>
      </w:r>
    </w:p>
    <w:p>
      <w:pPr>
        <w:pStyle w:val="FirstParagraph"/>
      </w:pPr>
      <w:r>
        <w:rPr>
          <w:b/>
          <w:bCs/>
        </w:rPr>
        <w:t xml:space="preserve">Identification</w:t>
      </w:r>
    </w:p>
    <w:p>
      <w:pPr>
        <w:pStyle w:val="Compact"/>
        <w:numPr>
          <w:ilvl w:val="0"/>
          <w:numId w:val="1009"/>
        </w:numPr>
      </w:pPr>
      <w:r>
        <w:t xml:space="preserve">N° CAS : 64-19-7</w:t>
      </w:r>
    </w:p>
    <w:p>
      <w:pPr>
        <w:pStyle w:val="Compact"/>
        <w:numPr>
          <w:ilvl w:val="0"/>
          <w:numId w:val="1009"/>
        </w:numPr>
      </w:pPr>
      <w:r>
        <w:t xml:space="preserve">N° EINECS : None</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10"/>
        </w:numPr>
      </w:pPr>
      <w:r>
        <w:t xml:space="preserve">H226</w:t>
      </w:r>
      <w:r>
        <w:t xml:space="preserve"> </w:t>
      </w:r>
      <w:r>
        <w:t xml:space="preserve">Liquide et vapeurs inflammables.</w:t>
      </w:r>
    </w:p>
    <w:p>
      <w:pPr>
        <w:numPr>
          <w:ilvl w:val="0"/>
          <w:numId w:val="1010"/>
        </w:numPr>
      </w:pPr>
      <w:r>
        <w:t xml:space="preserve">H312</w:t>
      </w:r>
      <w:r>
        <w:t xml:space="preserve"> </w:t>
      </w:r>
      <w:r>
        <w:t xml:space="preserve">Nocif par contact cutané.</w:t>
      </w:r>
    </w:p>
    <w:p>
      <w:pPr>
        <w:numPr>
          <w:ilvl w:val="0"/>
          <w:numId w:val="1010"/>
        </w:numPr>
      </w:pPr>
      <w:r>
        <w:t xml:space="preserve">H314</w:t>
      </w:r>
      <w:r>
        <w:t xml:space="preserve"> </w:t>
      </w:r>
      <w:r>
        <w:t xml:space="preserve">Provoque des brûlures de la peau et des lésions oculaires graves.</w:t>
      </w:r>
    </w:p>
    <w:p>
      <w:pPr>
        <w:numPr>
          <w:ilvl w:val="0"/>
          <w:numId w:val="1010"/>
        </w:numPr>
      </w:pPr>
      <w:r>
        <w:t xml:space="preserve">H315</w:t>
      </w:r>
      <w:r>
        <w:t xml:space="preserve"> </w:t>
      </w:r>
      <w:r>
        <w:t xml:space="preserve">Provoque une irritation cutanée.</w:t>
      </w:r>
    </w:p>
    <w:p>
      <w:pPr>
        <w:numPr>
          <w:ilvl w:val="0"/>
          <w:numId w:val="1010"/>
        </w:numPr>
      </w:pPr>
      <w:r>
        <w:t xml:space="preserve">H318</w:t>
      </w:r>
      <w:r>
        <w:t xml:space="preserve"> </w:t>
      </w:r>
      <w:r>
        <w:t xml:space="preserve">Provoque des lésions oculaires graves.</w:t>
      </w:r>
    </w:p>
    <w:p>
      <w:pPr>
        <w:numPr>
          <w:ilvl w:val="0"/>
          <w:numId w:val="1010"/>
        </w:numPr>
      </w:pPr>
      <w:r>
        <w:t xml:space="preserve">H319</w:t>
      </w:r>
      <w:r>
        <w:t xml:space="preserve"> </w:t>
      </w:r>
      <w:r>
        <w:t xml:space="preserve">Provoque une sévère irritation des yeux.</w:t>
      </w:r>
    </w:p>
    <w:p>
      <w:pPr>
        <w:numPr>
          <w:ilvl w:val="0"/>
          <w:numId w:val="1010"/>
        </w:numPr>
      </w:pPr>
      <w:r>
        <w:t xml:space="preserve">H332</w:t>
      </w:r>
      <w:r>
        <w:t xml:space="preserve"> </w:t>
      </w:r>
      <w:r>
        <w:t xml:space="preserve">Nocif par inhalation.</w:t>
      </w:r>
    </w:p>
    <w:p>
      <w:pPr>
        <w:numPr>
          <w:ilvl w:val="0"/>
          <w:numId w:val="1010"/>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10.0 - VLE-8h (mg/m³) : 25.0 - VLE-15min (ppm) : 15.0 - VLE-15min (mg/m³) : 38.0</w:t>
            </w:r>
          </w:p>
        </w:tc>
      </w:tr>
    </w:tbl>
    <w:bookmarkStart w:id="61" w:name="propriétés-1"/>
    <w:p>
      <w:pPr>
        <w:pStyle w:val="Heading4"/>
      </w:pPr>
      <w:r>
        <w:t xml:space="preserve">Propriétés</w:t>
      </w:r>
    </w:p>
    <w:p>
      <w:pPr>
        <w:pStyle w:val="FirstParagraph"/>
      </w:pPr>
      <w:hyperlink r:id="rId52">
        <w:r>
          <w:rPr>
            <w:rStyle w:val="Hyperlink"/>
            <w:color w:val="0856A0"/>
            <w:u w:val="single"/>
          </w:rPr>
          <w:t xml:space="preserve">FICHEJuin 2021Fiche n°24 - Acide acétiqueFiche présentant l’essentiel des données d’hygiène et de sécurité relatives à« Acide acétique »avec un rappel de la réglementation française et des recommandations techniques et médicales.En savoir plus</w:t>
        </w:r>
      </w:hyperlink>
    </w:p>
    <w:p>
      <w:pPr>
        <w:numPr>
          <w:ilvl w:val="0"/>
          <w:numId w:val="1011"/>
        </w:numPr>
      </w:pPr>
      <w:hyperlink r:id="rId53">
        <w:r>
          <w:rPr>
            <w:rStyle w:val="Hyperlink"/>
            <w:color w:val="0856A0"/>
            <w:u w:val="single"/>
          </w:rPr>
          <w:t xml:space="preserve">Généralités</w:t>
        </w:r>
      </w:hyperlink>
    </w:p>
    <w:p>
      <w:pPr>
        <w:numPr>
          <w:ilvl w:val="0"/>
          <w:numId w:val="1011"/>
        </w:numPr>
      </w:pPr>
      <w:hyperlink r:id="rId54">
        <w:r>
          <w:rPr>
            <w:rStyle w:val="Hyperlink"/>
            <w:color w:val="0856A0"/>
            <w:u w:val="single"/>
          </w:rPr>
          <w:t xml:space="preserve">Caractéristiques</w:t>
        </w:r>
      </w:hyperlink>
    </w:p>
    <w:p>
      <w:pPr>
        <w:numPr>
          <w:ilvl w:val="0"/>
          <w:numId w:val="1011"/>
        </w:numPr>
      </w:pPr>
      <w:hyperlink r:id="rId55">
        <w:r>
          <w:rPr>
            <w:rStyle w:val="Hyperlink"/>
            <w:color w:val="0856A0"/>
            <w:u w:val="single"/>
          </w:rPr>
          <w:t xml:space="preserve">VLEPMesurage</w:t>
        </w:r>
      </w:hyperlink>
    </w:p>
    <w:p>
      <w:pPr>
        <w:numPr>
          <w:ilvl w:val="0"/>
          <w:numId w:val="1011"/>
        </w:numPr>
      </w:pPr>
      <w:hyperlink r:id="rId56">
        <w:r>
          <w:rPr>
            <w:rStyle w:val="Hyperlink"/>
            <w:color w:val="0856A0"/>
            <w:u w:val="single"/>
          </w:rPr>
          <w:t xml:space="preserve">Incendie - Explosion[5, 6, 15-17]</w:t>
        </w:r>
      </w:hyperlink>
    </w:p>
    <w:p>
      <w:pPr>
        <w:numPr>
          <w:ilvl w:val="0"/>
          <w:numId w:val="1011"/>
        </w:numPr>
      </w:pPr>
      <w:hyperlink r:id="rId57">
        <w:r>
          <w:rPr>
            <w:rStyle w:val="Hyperlink"/>
            <w:color w:val="0856A0"/>
            <w:u w:val="single"/>
          </w:rPr>
          <w:t xml:space="preserve">Pathologie - Toxicologie</w:t>
        </w:r>
      </w:hyperlink>
    </w:p>
    <w:p>
      <w:pPr>
        <w:numPr>
          <w:ilvl w:val="0"/>
          <w:numId w:val="1011"/>
        </w:numPr>
      </w:pPr>
      <w:hyperlink r:id="rId58">
        <w:r>
          <w:rPr>
            <w:rStyle w:val="Hyperlink"/>
            <w:color w:val="0856A0"/>
            <w:u w:val="single"/>
          </w:rPr>
          <w:t xml:space="preserve">Règlementation</w:t>
        </w:r>
      </w:hyperlink>
    </w:p>
    <w:p>
      <w:pPr>
        <w:numPr>
          <w:ilvl w:val="0"/>
          <w:numId w:val="1011"/>
        </w:numPr>
      </w:pPr>
      <w:hyperlink r:id="rId59">
        <w:r>
          <w:rPr>
            <w:rStyle w:val="Hyperlink"/>
            <w:color w:val="0856A0"/>
            <w:u w:val="single"/>
          </w:rPr>
          <w:t xml:space="preserve">Recommandations</w:t>
        </w:r>
      </w:hyperlink>
    </w:p>
    <w:p>
      <w:pPr>
        <w:numPr>
          <w:ilvl w:val="0"/>
          <w:numId w:val="1011"/>
        </w:numPr>
      </w:pPr>
      <w:hyperlink r:id="rId60">
        <w:r>
          <w:rPr>
            <w:rStyle w:val="Hyperlink"/>
            <w:color w:val="0856A0"/>
            <w:u w:val="single"/>
          </w:rPr>
          <w:t xml:space="preserve">Bibliographie</w:t>
        </w:r>
      </w:hyperlink>
    </w:p>
    <w:bookmarkEnd w:id="61"/>
    <w:bookmarkEnd w:id="62"/>
    <w:bookmarkStart w:id="73" w:name="hydroxyde-de-potassium-potasse-caustique"/>
    <w:p>
      <w:pPr>
        <w:pStyle w:val="Heading3"/>
      </w:pPr>
      <w:r>
        <w:t xml:space="preserve">hydroxyde de potassium; potasse caustique</w:t>
      </w:r>
    </w:p>
    <w:p>
      <w:pPr>
        <w:pStyle w:val="FirstParagraph"/>
      </w:pPr>
      <w:r>
        <w:rPr>
          <w:b/>
          <w:bCs/>
        </w:rPr>
        <w:t xml:space="preserve">Identification</w:t>
      </w:r>
    </w:p>
    <w:p>
      <w:pPr>
        <w:pStyle w:val="Compact"/>
        <w:numPr>
          <w:ilvl w:val="0"/>
          <w:numId w:val="1012"/>
        </w:numPr>
      </w:pPr>
      <w:r>
        <w:t xml:space="preserve">N° CAS : 1310-58-3</w:t>
      </w:r>
    </w:p>
    <w:p>
      <w:pPr>
        <w:pStyle w:val="Compact"/>
        <w:numPr>
          <w:ilvl w:val="0"/>
          <w:numId w:val="1012"/>
        </w:numPr>
      </w:pPr>
      <w:r>
        <w:t xml:space="preserve">N° EINECS : None</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13"/>
        </w:numPr>
      </w:pPr>
      <w:r>
        <w:t xml:space="preserve">H302</w:t>
      </w:r>
      <w:r>
        <w:t xml:space="preserve"> </w:t>
      </w:r>
      <w:r>
        <w:t xml:space="preserve">Nocif en cas d’ingestion.</w:t>
      </w:r>
    </w:p>
    <w:p>
      <w:pPr>
        <w:numPr>
          <w:ilvl w:val="0"/>
          <w:numId w:val="1013"/>
        </w:numPr>
      </w:pPr>
      <w:r>
        <w:t xml:space="preserve">H314</w:t>
      </w:r>
      <w:r>
        <w:t xml:space="preserve"> </w:t>
      </w:r>
      <w:r>
        <w:t xml:space="preserve">Provoque des brûlures de la peau et des lésions oculaires graves.</w:t>
      </w:r>
    </w:p>
    <w:p>
      <w:pPr>
        <w:numPr>
          <w:ilvl w:val="0"/>
          <w:numId w:val="1013"/>
        </w:numPr>
      </w:pPr>
      <w:r>
        <w:t xml:space="preserve">H315</w:t>
      </w:r>
      <w:r>
        <w:t xml:space="preserve"> </w:t>
      </w:r>
      <w:r>
        <w:t xml:space="preserve">Provoque une irritation cutanée.</w:t>
      </w:r>
    </w:p>
    <w:p>
      <w:pPr>
        <w:numPr>
          <w:ilvl w:val="0"/>
          <w:numId w:val="1013"/>
        </w:numPr>
      </w:pPr>
      <w:r>
        <w:t xml:space="preserve">H318</w:t>
      </w:r>
      <w:r>
        <w:t xml:space="preserve"> </w:t>
      </w:r>
      <w:r>
        <w:t xml:space="preserve">Provoque des lésions oculaires graves.</w:t>
      </w:r>
    </w:p>
    <w:p>
      <w:pPr>
        <w:numPr>
          <w:ilvl w:val="0"/>
          <w:numId w:val="1013"/>
        </w:numPr>
      </w:pPr>
      <w:r>
        <w:t xml:space="preserve">H319</w:t>
      </w:r>
      <w:r>
        <w:t xml:space="preserve"> </w:t>
      </w:r>
      <w:r>
        <w:t xml:space="preserve">Provoque une sévère irritation des yeux.</w:t>
      </w:r>
    </w:p>
    <w:p>
      <w:pPr>
        <w:numPr>
          <w:ilvl w:val="0"/>
          <w:numId w:val="1013"/>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VLE-15min (mg/m³) : 2.0</w:t>
            </w:r>
          </w:p>
        </w:tc>
      </w:tr>
    </w:tbl>
    <w:bookmarkStart w:id="72" w:name="propriétés-2"/>
    <w:p>
      <w:pPr>
        <w:pStyle w:val="Heading4"/>
      </w:pPr>
      <w:r>
        <w:t xml:space="preserve">Propriétés</w:t>
      </w:r>
    </w:p>
    <w:p>
      <w:pPr>
        <w:pStyle w:val="FirstParagraph"/>
      </w:pPr>
      <w:hyperlink r:id="rId63">
        <w:r>
          <w:rPr>
            <w:rStyle w:val="Hyperlink"/>
            <w:color w:val="0856A0"/>
            <w:u w:val="single"/>
          </w:rPr>
          <w:t xml:space="preserve">FICHEAvril 2022Fiche n°35 - Hydroxyde de potassium et solutions aqueusesFiche présentant l’essentiel des données d’hygiène et de sécurité relatives à« Hydroxyde de potassium et solutions aqueuses »avec un rappel de la réglementation française et des recommandations techniques et médicales.En savoir plus</w:t>
        </w:r>
      </w:hyperlink>
    </w:p>
    <w:p>
      <w:pPr>
        <w:numPr>
          <w:ilvl w:val="0"/>
          <w:numId w:val="1014"/>
        </w:numPr>
      </w:pPr>
      <w:hyperlink r:id="rId64">
        <w:r>
          <w:rPr>
            <w:rStyle w:val="Hyperlink"/>
            <w:color w:val="0856A0"/>
            <w:u w:val="single"/>
          </w:rPr>
          <w:t xml:space="preserve">Généralités</w:t>
        </w:r>
      </w:hyperlink>
    </w:p>
    <w:p>
      <w:pPr>
        <w:numPr>
          <w:ilvl w:val="0"/>
          <w:numId w:val="1014"/>
        </w:numPr>
      </w:pPr>
      <w:hyperlink r:id="rId65">
        <w:r>
          <w:rPr>
            <w:rStyle w:val="Hyperlink"/>
            <w:color w:val="0856A0"/>
            <w:u w:val="single"/>
          </w:rPr>
          <w:t xml:space="preserve">Caractéristiques</w:t>
        </w:r>
      </w:hyperlink>
    </w:p>
    <w:p>
      <w:pPr>
        <w:numPr>
          <w:ilvl w:val="0"/>
          <w:numId w:val="1014"/>
        </w:numPr>
      </w:pPr>
      <w:hyperlink r:id="rId66">
        <w:r>
          <w:rPr>
            <w:rStyle w:val="Hyperlink"/>
            <w:color w:val="0856A0"/>
            <w:u w:val="single"/>
          </w:rPr>
          <w:t xml:space="preserve">VLEPMesurage</w:t>
        </w:r>
      </w:hyperlink>
    </w:p>
    <w:p>
      <w:pPr>
        <w:numPr>
          <w:ilvl w:val="0"/>
          <w:numId w:val="1014"/>
        </w:numPr>
      </w:pPr>
      <w:hyperlink r:id="rId67">
        <w:r>
          <w:rPr>
            <w:rStyle w:val="Hyperlink"/>
            <w:color w:val="0856A0"/>
            <w:u w:val="single"/>
          </w:rPr>
          <w:t xml:space="preserve">Incendie - Explosion[5, 6]</w:t>
        </w:r>
      </w:hyperlink>
    </w:p>
    <w:p>
      <w:pPr>
        <w:numPr>
          <w:ilvl w:val="0"/>
          <w:numId w:val="1014"/>
        </w:numPr>
      </w:pPr>
      <w:hyperlink r:id="rId68">
        <w:r>
          <w:rPr>
            <w:rStyle w:val="Hyperlink"/>
            <w:color w:val="0856A0"/>
            <w:u w:val="single"/>
          </w:rPr>
          <w:t xml:space="preserve">Pathologie - Toxicologie</w:t>
        </w:r>
      </w:hyperlink>
    </w:p>
    <w:p>
      <w:pPr>
        <w:numPr>
          <w:ilvl w:val="0"/>
          <w:numId w:val="1014"/>
        </w:numPr>
      </w:pPr>
      <w:hyperlink r:id="rId69">
        <w:r>
          <w:rPr>
            <w:rStyle w:val="Hyperlink"/>
            <w:color w:val="0856A0"/>
            <w:u w:val="single"/>
          </w:rPr>
          <w:t xml:space="preserve">Règlementation</w:t>
        </w:r>
      </w:hyperlink>
    </w:p>
    <w:p>
      <w:pPr>
        <w:numPr>
          <w:ilvl w:val="0"/>
          <w:numId w:val="1014"/>
        </w:numPr>
      </w:pPr>
      <w:hyperlink r:id="rId70">
        <w:r>
          <w:rPr>
            <w:rStyle w:val="Hyperlink"/>
            <w:color w:val="0856A0"/>
            <w:u w:val="single"/>
          </w:rPr>
          <w:t xml:space="preserve">Recommandations</w:t>
        </w:r>
      </w:hyperlink>
    </w:p>
    <w:p>
      <w:pPr>
        <w:numPr>
          <w:ilvl w:val="0"/>
          <w:numId w:val="1014"/>
        </w:numPr>
      </w:pPr>
      <w:hyperlink r:id="rId71">
        <w:r>
          <w:rPr>
            <w:rStyle w:val="Hyperlink"/>
            <w:color w:val="0856A0"/>
            <w:u w:val="single"/>
          </w:rPr>
          <w:t xml:space="preserve">Bibliographie</w:t>
        </w:r>
      </w:hyperlink>
    </w:p>
    <w:bookmarkEnd w:id="72"/>
    <w:bookmarkEnd w:id="73"/>
    <w:bookmarkStart w:id="75" w:name="naphthol"/>
    <w:p>
      <w:pPr>
        <w:pStyle w:val="Heading3"/>
      </w:pPr>
      <w:r>
        <w:t xml:space="preserve">1-naphthol</w:t>
      </w:r>
    </w:p>
    <w:p>
      <w:pPr>
        <w:pStyle w:val="FirstParagraph"/>
      </w:pPr>
      <w:r>
        <w:rPr>
          <w:b/>
          <w:bCs/>
        </w:rPr>
        <w:t xml:space="preserve">Identification</w:t>
      </w:r>
    </w:p>
    <w:p>
      <w:pPr>
        <w:pStyle w:val="Compact"/>
        <w:numPr>
          <w:ilvl w:val="0"/>
          <w:numId w:val="1015"/>
        </w:numPr>
      </w:pPr>
      <w:r>
        <w:t xml:space="preserve">N° CAS : 90-15-3</w:t>
      </w:r>
    </w:p>
    <w:p>
      <w:pPr>
        <w:pStyle w:val="Compact"/>
        <w:numPr>
          <w:ilvl w:val="0"/>
          <w:numId w:val="1015"/>
        </w:numPr>
      </w:pPr>
      <w:r>
        <w:t xml:space="preserve">N° EINECS : None</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16"/>
        </w:numPr>
      </w:pPr>
      <w:r>
        <w:t xml:space="preserve">H302</w:t>
      </w:r>
      <w:r>
        <w:t xml:space="preserve"> </w:t>
      </w:r>
      <w:r>
        <w:t xml:space="preserve">Nocif en cas d’ingestion.</w:t>
      </w:r>
    </w:p>
    <w:p>
      <w:pPr>
        <w:numPr>
          <w:ilvl w:val="0"/>
          <w:numId w:val="1016"/>
        </w:numPr>
      </w:pPr>
      <w:r>
        <w:t xml:space="preserve">H312</w:t>
      </w:r>
      <w:r>
        <w:t xml:space="preserve"> </w:t>
      </w:r>
      <w:r>
        <w:t xml:space="preserve">Nocif par contact cutané.</w:t>
      </w:r>
    </w:p>
    <w:p>
      <w:pPr>
        <w:numPr>
          <w:ilvl w:val="0"/>
          <w:numId w:val="1016"/>
        </w:numPr>
      </w:pPr>
      <w:r>
        <w:t xml:space="preserve">H315</w:t>
      </w:r>
      <w:r>
        <w:t xml:space="preserve"> </w:t>
      </w:r>
      <w:r>
        <w:t xml:space="preserve">Provoque une irritation cutanée.</w:t>
      </w:r>
    </w:p>
    <w:p>
      <w:pPr>
        <w:numPr>
          <w:ilvl w:val="0"/>
          <w:numId w:val="1016"/>
        </w:numPr>
      </w:pPr>
      <w:r>
        <w:t xml:space="preserve">H318</w:t>
      </w:r>
      <w:r>
        <w:t xml:space="preserve"> </w:t>
      </w:r>
      <w:r>
        <w:t xml:space="preserve">Provoque des lésions oculaires graves.</w:t>
      </w:r>
    </w:p>
    <w:p>
      <w:pPr>
        <w:numPr>
          <w:ilvl w:val="0"/>
          <w:numId w:val="1016"/>
        </w:numPr>
      </w:pPr>
      <w:r>
        <w:t xml:space="preserve">H330</w:t>
      </w:r>
      <w:r>
        <w:t xml:space="preserve"> </w:t>
      </w:r>
      <w:r>
        <w:t xml:space="preserve">Fatal if inhaled</w:t>
      </w:r>
    </w:p>
    <w:p>
      <w:pPr>
        <w:numPr>
          <w:ilvl w:val="0"/>
          <w:numId w:val="1016"/>
        </w:numPr>
      </w:pPr>
      <w:r>
        <w:t xml:space="preserve">H335</w:t>
      </w:r>
      <w:r>
        <w:t xml:space="preserve"> </w:t>
      </w:r>
      <w:r>
        <w:t xml:space="preserve">Peut irriter les voies respiratoires.</w:t>
      </w:r>
    </w:p>
    <w:p>
      <w:pPr>
        <w:numPr>
          <w:ilvl w:val="0"/>
          <w:numId w:val="1016"/>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74" w:name="propriétés-3"/>
    <w:p>
      <w:pPr>
        <w:pStyle w:val="Heading4"/>
      </w:pPr>
      <w:r>
        <w:t xml:space="preserve">Propriétés</w:t>
      </w:r>
    </w:p>
    <w:p>
      <w:pPr>
        <w:pStyle w:val="FirstParagraph"/>
      </w:pPr>
      <w:r>
        <w:t xml:space="preserve">Pas d’informations disponible.</w:t>
      </w:r>
    </w:p>
    <w:bookmarkEnd w:id="74"/>
    <w:bookmarkEnd w:id="75"/>
    <w:bookmarkStart w:id="86" w:name="fer-iii-chlorure"/>
    <w:p>
      <w:pPr>
        <w:pStyle w:val="Heading3"/>
      </w:pPr>
      <w:r>
        <w:t xml:space="preserve">FER (III) chlorure</w:t>
      </w:r>
    </w:p>
    <w:p>
      <w:pPr>
        <w:pStyle w:val="FirstParagraph"/>
      </w:pPr>
      <w:r>
        <w:rPr>
          <w:b/>
          <w:bCs/>
        </w:rPr>
        <w:t xml:space="preserve">Identification</w:t>
      </w:r>
    </w:p>
    <w:p>
      <w:pPr>
        <w:pStyle w:val="Compact"/>
        <w:numPr>
          <w:ilvl w:val="0"/>
          <w:numId w:val="1017"/>
        </w:numPr>
      </w:pPr>
      <w:r>
        <w:t xml:space="preserve">N° CAS : 7705-08-0</w:t>
      </w:r>
    </w:p>
    <w:p>
      <w:pPr>
        <w:pStyle w:val="Compact"/>
        <w:numPr>
          <w:ilvl w:val="0"/>
          <w:numId w:val="1017"/>
        </w:numPr>
      </w:pPr>
      <w:r>
        <w:t xml:space="preserve">N° EINECS : None</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18"/>
        </w:numPr>
      </w:pPr>
      <w:r>
        <w:t xml:space="preserve">H300</w:t>
      </w:r>
      <w:r>
        <w:t xml:space="preserve"> </w:t>
      </w:r>
      <w:r>
        <w:t xml:space="preserve">Fatal if swallowed</w:t>
      </w:r>
    </w:p>
    <w:p>
      <w:pPr>
        <w:numPr>
          <w:ilvl w:val="0"/>
          <w:numId w:val="1018"/>
        </w:numPr>
      </w:pPr>
      <w:r>
        <w:t xml:space="preserve">H314</w:t>
      </w:r>
      <w:r>
        <w:t xml:space="preserve"> </w:t>
      </w:r>
      <w:r>
        <w:t xml:space="preserve">Provoque des brûlures de la peau et des lésions oculaires graves.</w:t>
      </w:r>
    </w:p>
    <w:p>
      <w:pPr>
        <w:numPr>
          <w:ilvl w:val="0"/>
          <w:numId w:val="1018"/>
        </w:numPr>
      </w:pPr>
      <w:r>
        <w:t xml:space="preserve">H318</w:t>
      </w:r>
      <w:r>
        <w:t xml:space="preserve"> </w:t>
      </w:r>
      <w:r>
        <w:t xml:space="preserve">Provoque des lésions oculaires graves.</w:t>
      </w:r>
    </w:p>
    <w:p>
      <w:pPr>
        <w:numPr>
          <w:ilvl w:val="0"/>
          <w:numId w:val="1018"/>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85" w:name="propriétés-4"/>
    <w:p>
      <w:pPr>
        <w:pStyle w:val="Heading4"/>
      </w:pPr>
      <w:r>
        <w:t xml:space="preserve">Propriétés</w:t>
      </w:r>
    </w:p>
    <w:p>
      <w:pPr>
        <w:pStyle w:val="FirstParagraph"/>
      </w:pPr>
      <w:hyperlink r:id="rId76">
        <w:r>
          <w:rPr>
            <w:rStyle w:val="Hyperlink"/>
            <w:color w:val="0856A0"/>
            <w:u w:val="single"/>
          </w:rPr>
          <w:t xml:space="preserve">FICHEFévrier 2021Fiche n°154 - Trichlorure de ferFiche présentant l’essentiel des données d’hygiène et de sécurité relatives à« Trichlorure de fer »avec un rappel de la réglementation française et des recommandations techniques et médicales.En savoir plus</w:t>
        </w:r>
      </w:hyperlink>
    </w:p>
    <w:p>
      <w:pPr>
        <w:numPr>
          <w:ilvl w:val="0"/>
          <w:numId w:val="1019"/>
        </w:numPr>
      </w:pPr>
      <w:hyperlink r:id="rId77">
        <w:r>
          <w:rPr>
            <w:rStyle w:val="Hyperlink"/>
            <w:color w:val="0856A0"/>
            <w:u w:val="single"/>
          </w:rPr>
          <w:t xml:space="preserve">Généralités</w:t>
        </w:r>
      </w:hyperlink>
    </w:p>
    <w:p>
      <w:pPr>
        <w:numPr>
          <w:ilvl w:val="0"/>
          <w:numId w:val="1019"/>
        </w:numPr>
      </w:pPr>
      <w:hyperlink r:id="rId78">
        <w:r>
          <w:rPr>
            <w:rStyle w:val="Hyperlink"/>
            <w:color w:val="0856A0"/>
            <w:u w:val="single"/>
          </w:rPr>
          <w:t xml:space="preserve">Caractéristiques</w:t>
        </w:r>
      </w:hyperlink>
    </w:p>
    <w:p>
      <w:pPr>
        <w:numPr>
          <w:ilvl w:val="0"/>
          <w:numId w:val="1019"/>
        </w:numPr>
      </w:pPr>
      <w:hyperlink r:id="rId79">
        <w:r>
          <w:rPr>
            <w:rStyle w:val="Hyperlink"/>
            <w:color w:val="0856A0"/>
            <w:u w:val="single"/>
          </w:rPr>
          <w:t xml:space="preserve">VLEPMesurage</w:t>
        </w:r>
      </w:hyperlink>
    </w:p>
    <w:p>
      <w:pPr>
        <w:numPr>
          <w:ilvl w:val="0"/>
          <w:numId w:val="1019"/>
        </w:numPr>
      </w:pPr>
      <w:hyperlink r:id="rId80">
        <w:r>
          <w:rPr>
            <w:rStyle w:val="Hyperlink"/>
            <w:color w:val="0856A0"/>
            <w:u w:val="single"/>
          </w:rPr>
          <w:t xml:space="preserve">Incendie - Explosion</w:t>
        </w:r>
      </w:hyperlink>
    </w:p>
    <w:p>
      <w:pPr>
        <w:numPr>
          <w:ilvl w:val="0"/>
          <w:numId w:val="1019"/>
        </w:numPr>
      </w:pPr>
      <w:hyperlink r:id="rId81">
        <w:r>
          <w:rPr>
            <w:rStyle w:val="Hyperlink"/>
            <w:color w:val="0856A0"/>
            <w:u w:val="single"/>
          </w:rPr>
          <w:t xml:space="preserve">Pathologie - Toxicologie</w:t>
        </w:r>
      </w:hyperlink>
    </w:p>
    <w:p>
      <w:pPr>
        <w:numPr>
          <w:ilvl w:val="0"/>
          <w:numId w:val="1019"/>
        </w:numPr>
      </w:pPr>
      <w:hyperlink r:id="rId82">
        <w:r>
          <w:rPr>
            <w:rStyle w:val="Hyperlink"/>
            <w:color w:val="0856A0"/>
            <w:u w:val="single"/>
          </w:rPr>
          <w:t xml:space="preserve">Règlementation</w:t>
        </w:r>
      </w:hyperlink>
    </w:p>
    <w:p>
      <w:pPr>
        <w:numPr>
          <w:ilvl w:val="0"/>
          <w:numId w:val="1019"/>
        </w:numPr>
      </w:pPr>
      <w:hyperlink r:id="rId83">
        <w:r>
          <w:rPr>
            <w:rStyle w:val="Hyperlink"/>
            <w:color w:val="0856A0"/>
            <w:u w:val="single"/>
          </w:rPr>
          <w:t xml:space="preserve">Recommandations</w:t>
        </w:r>
      </w:hyperlink>
    </w:p>
    <w:p>
      <w:pPr>
        <w:numPr>
          <w:ilvl w:val="0"/>
          <w:numId w:val="1019"/>
        </w:numPr>
      </w:pPr>
      <w:hyperlink r:id="rId84">
        <w:r>
          <w:rPr>
            <w:rStyle w:val="Hyperlink"/>
            <w:color w:val="0856A0"/>
            <w:u w:val="single"/>
          </w:rPr>
          <w:t xml:space="preserve">Bibliographie</w:t>
        </w:r>
      </w:hyperlink>
    </w:p>
    <w:bookmarkEnd w:id="85"/>
    <w:bookmarkEnd w:id="86"/>
    <w:bookmarkEnd w:id="87"/>
    <w:bookmarkStart w:id="88"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Gants de protection en nitrile Recommandés pour protéger la peau des contacts avec le produit. Aucun détail supplémentaire (épaisseur, temps de perçage) n’est fourni dans le texte.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de sécurité avec protections latérales Utilisées pour protéger les yeux et le visage contre les éclaboussures et les projections.</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Gants de protection en nitrile Recommandés pour protéger la peau des contacts avec le produit. Aucun détail supplémentaire (épaisseur, temps de perçage) n’est fourni dans le texte.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Appareil respiratoire approprié (type non précisé) À porter en cas de ventilation insuffisante pour éviter l’inhalation de vapeurs ou de poussières.</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Vêtements appropriés résistant aux produits chimiques À porter pour protéger la peau et les vêtements de travail contre les éclaboussures.</w:t>
            </w:r>
          </w:p>
        </w:tc>
      </w:tr>
    </w:tbl>
    <w:bookmarkEnd w:id="88"/>
    <w:bookmarkStart w:id="89"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Not Found</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Conserver dans un endroit bien ventilé. - Maintenir le récipient fermé de manière étanche. - Conserver au frais et au sec, à l’abri de la lumière directe du soleil. - Conserver dans un endroit équipé de sprinklers. - Éviter le contact avec des substances incompatibles: - Acides - Agents oxydants forts - Anhydride maléique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Dispositif médical de diagnostic in vitro.</w:t>
            </w:r>
          </w:p>
        </w:tc>
      </w:tr>
    </w:tbl>
    <w:bookmarkEnd w:id="89"/>
    <w:bookmarkEnd w:id="90"/>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23" Type="http://schemas.openxmlformats.org/officeDocument/2006/relationships/image" Target="media/rId23.png"/><Relationship Id="rId20" Type="http://schemas.openxmlformats.org/officeDocument/2006/relationships/image" Target="media/rId20.png"/><Relationship Id="rId76" Type="http://schemas.openxmlformats.org/officeDocument/2006/relationships/hyperlink" Target="https://www.inrs.fr/accueil/publications/bdd/fichetox/fiche.html?refINRS=FICHETOX_154" TargetMode="External"/><Relationship Id="rId79" Type="http://schemas.openxmlformats.org/officeDocument/2006/relationships/hyperlink" Target="https://www.inrs.fr/accueil/publications/bdd/fichetox/fiche.html?refINRS=FICHETOX_154&amp;section=VLEPMesurage" TargetMode="External"/><Relationship Id="rId84" Type="http://schemas.openxmlformats.org/officeDocument/2006/relationships/hyperlink" Target="https://www.inrs.fr/accueil/publications/bdd/fichetox/fiche.html?refINRS=FICHETOX_154&amp;section=bibliographieAuteurs" TargetMode="External"/><Relationship Id="rId78" Type="http://schemas.openxmlformats.org/officeDocument/2006/relationships/hyperlink" Target="https://www.inrs.fr/accueil/publications/bdd/fichetox/fiche.html?refINRS=FICHETOX_154&amp;section=caracteristiques" TargetMode="External"/><Relationship Id="rId77" Type="http://schemas.openxmlformats.org/officeDocument/2006/relationships/hyperlink" Target="https://www.inrs.fr/accueil/publications/bdd/fichetox/fiche.html?refINRS=FICHETOX_154&amp;section=generalites" TargetMode="External"/><Relationship Id="rId80" Type="http://schemas.openxmlformats.org/officeDocument/2006/relationships/hyperlink" Target="https://www.inrs.fr/accueil/publications/bdd/fichetox/fiche.html?refINRS=FICHETOX_154&amp;section=incendieExplosion" TargetMode="External"/><Relationship Id="rId81" Type="http://schemas.openxmlformats.org/officeDocument/2006/relationships/hyperlink" Target="https://www.inrs.fr/accueil/publications/bdd/fichetox/fiche.html?refINRS=FICHETOX_154&amp;section=pathologieToxicologie" TargetMode="External"/><Relationship Id="rId83" Type="http://schemas.openxmlformats.org/officeDocument/2006/relationships/hyperlink" Target="https://www.inrs.fr/accueil/publications/bdd/fichetox/fiche.html?refINRS=FICHETOX_154&amp;section=recommandations" TargetMode="External"/><Relationship Id="rId82" Type="http://schemas.openxmlformats.org/officeDocument/2006/relationships/hyperlink" Target="https://www.inrs.fr/accueil/publications/bdd/fichetox/fiche.html?refINRS=FICHETOX_154&amp;section=reglementation" TargetMode="External"/><Relationship Id="rId52" Type="http://schemas.openxmlformats.org/officeDocument/2006/relationships/hyperlink" Target="https://www.inrs.fr/accueil/publications/bdd/fichetox/fiche.html?refINRS=FICHETOX_24" TargetMode="External"/><Relationship Id="rId55" Type="http://schemas.openxmlformats.org/officeDocument/2006/relationships/hyperlink" Target="https://www.inrs.fr/accueil/publications/bdd/fichetox/fiche.html?refINRS=FICHETOX_24&amp;section=VLEPMesurage" TargetMode="External"/><Relationship Id="rId60" Type="http://schemas.openxmlformats.org/officeDocument/2006/relationships/hyperlink" Target="https://www.inrs.fr/accueil/publications/bdd/fichetox/fiche.html?refINRS=FICHETOX_24&amp;section=bibliographieAuteurs" TargetMode="External"/><Relationship Id="rId54" Type="http://schemas.openxmlformats.org/officeDocument/2006/relationships/hyperlink" Target="https://www.inrs.fr/accueil/publications/bdd/fichetox/fiche.html?refINRS=FICHETOX_24&amp;section=caracteristiques" TargetMode="External"/><Relationship Id="rId53" Type="http://schemas.openxmlformats.org/officeDocument/2006/relationships/hyperlink" Target="https://www.inrs.fr/accueil/publications/bdd/fichetox/fiche.html?refINRS=FICHETOX_24&amp;section=generalites" TargetMode="External"/><Relationship Id="rId56" Type="http://schemas.openxmlformats.org/officeDocument/2006/relationships/hyperlink" Target="https://www.inrs.fr/accueil/publications/bdd/fichetox/fiche.html?refINRS=FICHETOX_24&amp;section=incendieExplosion" TargetMode="External"/><Relationship Id="rId57" Type="http://schemas.openxmlformats.org/officeDocument/2006/relationships/hyperlink" Target="https://www.inrs.fr/accueil/publications/bdd/fichetox/fiche.html?refINRS=FICHETOX_24&amp;section=pathologieToxicologie" TargetMode="External"/><Relationship Id="rId59" Type="http://schemas.openxmlformats.org/officeDocument/2006/relationships/hyperlink" Target="https://www.inrs.fr/accueil/publications/bdd/fichetox/fiche.html?refINRS=FICHETOX_24&amp;section=recommandations" TargetMode="External"/><Relationship Id="rId58" Type="http://schemas.openxmlformats.org/officeDocument/2006/relationships/hyperlink" Target="https://www.inrs.fr/accueil/publications/bdd/fichetox/fiche.html?refINRS=FICHETOX_24&amp;section=reglementation" TargetMode="External"/><Relationship Id="rId63" Type="http://schemas.openxmlformats.org/officeDocument/2006/relationships/hyperlink" Target="https://www.inrs.fr/accueil/publications/bdd/fichetox/fiche.html?refINRS=FICHETOX_35" TargetMode="External"/><Relationship Id="rId66" Type="http://schemas.openxmlformats.org/officeDocument/2006/relationships/hyperlink" Target="https://www.inrs.fr/accueil/publications/bdd/fichetox/fiche.html?refINRS=FICHETOX_35&amp;section=VLEPMesurage" TargetMode="External"/><Relationship Id="rId71" Type="http://schemas.openxmlformats.org/officeDocument/2006/relationships/hyperlink" Target="https://www.inrs.fr/accueil/publications/bdd/fichetox/fiche.html?refINRS=FICHETOX_35&amp;section=bibliographieAuteurs" TargetMode="External"/><Relationship Id="rId65" Type="http://schemas.openxmlformats.org/officeDocument/2006/relationships/hyperlink" Target="https://www.inrs.fr/accueil/publications/bdd/fichetox/fiche.html?refINRS=FICHETOX_35&amp;section=caracteristiques" TargetMode="External"/><Relationship Id="rId64" Type="http://schemas.openxmlformats.org/officeDocument/2006/relationships/hyperlink" Target="https://www.inrs.fr/accueil/publications/bdd/fichetox/fiche.html?refINRS=FICHETOX_35&amp;section=generalites" TargetMode="External"/><Relationship Id="rId67" Type="http://schemas.openxmlformats.org/officeDocument/2006/relationships/hyperlink" Target="https://www.inrs.fr/accueil/publications/bdd/fichetox/fiche.html?refINRS=FICHETOX_35&amp;section=incendieExplosion" TargetMode="External"/><Relationship Id="rId68" Type="http://schemas.openxmlformats.org/officeDocument/2006/relationships/hyperlink" Target="https://www.inrs.fr/accueil/publications/bdd/fichetox/fiche.html?refINRS=FICHETOX_35&amp;section=pathologieToxicologie" TargetMode="External"/><Relationship Id="rId70" Type="http://schemas.openxmlformats.org/officeDocument/2006/relationships/hyperlink" Target="https://www.inrs.fr/accueil/publications/bdd/fichetox/fiche.html?refINRS=FICHETOX_35&amp;section=recommandations" TargetMode="External"/><Relationship Id="rId69" Type="http://schemas.openxmlformats.org/officeDocument/2006/relationships/hyperlink" Target="https://www.inrs.fr/accueil/publications/bdd/fichetox/fiche.html?refINRS=FICHETOX_35&amp;section=reglementation" TargetMode="External"/><Relationship Id="rId41" Type="http://schemas.openxmlformats.org/officeDocument/2006/relationships/hyperlink" Target="https://www.inrs.fr/accueil/publications/bdd/fichetox/fiche.html?refINRS=FICHETOX_48" TargetMode="External"/><Relationship Id="rId44" Type="http://schemas.openxmlformats.org/officeDocument/2006/relationships/hyperlink" Target="https://www.inrs.fr/accueil/publications/bdd/fichetox/fiche.html?refINRS=FICHETOX_48&amp;section=VLEPMesurage" TargetMode="External"/><Relationship Id="rId49" Type="http://schemas.openxmlformats.org/officeDocument/2006/relationships/hyperlink" Target="https://www.inrs.fr/accueil/publications/bdd/fichetox/fiche.html?refINRS=FICHETOX_48&amp;section=bibliographieAuteurs" TargetMode="External"/><Relationship Id="rId43" Type="http://schemas.openxmlformats.org/officeDocument/2006/relationships/hyperlink" Target="https://www.inrs.fr/accueil/publications/bdd/fichetox/fiche.html?refINRS=FICHETOX_48&amp;section=caracteristiques" TargetMode="External"/><Relationship Id="rId42" Type="http://schemas.openxmlformats.org/officeDocument/2006/relationships/hyperlink" Target="https://www.inrs.fr/accueil/publications/bdd/fichetox/fiche.html?refINRS=FICHETOX_48&amp;section=generalites" TargetMode="External"/><Relationship Id="rId45" Type="http://schemas.openxmlformats.org/officeDocument/2006/relationships/hyperlink" Target="https://www.inrs.fr/accueil/publications/bdd/fichetox/fiche.html?refINRS=FICHETOX_48&amp;section=incendieExplosion" TargetMode="External"/><Relationship Id="rId46" Type="http://schemas.openxmlformats.org/officeDocument/2006/relationships/hyperlink" Target="https://www.inrs.fr/accueil/publications/bdd/fichetox/fiche.html?refINRS=FICHETOX_48&amp;section=pathologieToxicologie" TargetMode="External"/><Relationship Id="rId48" Type="http://schemas.openxmlformats.org/officeDocument/2006/relationships/hyperlink" Target="https://www.inrs.fr/accueil/publications/bdd/fichetox/fiche.html?refINRS=FICHETOX_48&amp;section=recommandations" TargetMode="External"/><Relationship Id="rId47" Type="http://schemas.openxmlformats.org/officeDocument/2006/relationships/hyperlink" Target="https://www.inrs.fr/accueil/publications/bdd/fichetox/fiche.html?refINRS=FICHETOX_48&amp;section=reglementation" TargetMode="External"/></Relationships>
</file>

<file path=word/_rels/footnotes.xml.rels><?xml version='1.0' encoding='UTF-8' standalone='yes'?>
<Relationships xmlns="http://schemas.openxmlformats.org/package/2006/relationships"><Relationship Id="rId76" Type="http://schemas.openxmlformats.org/officeDocument/2006/relationships/hyperlink" Target="https://www.inrs.fr/accueil/publications/bdd/fichetox/fiche.html?refINRS=FICHETOX_154" TargetMode="External"/><Relationship Id="rId79" Type="http://schemas.openxmlformats.org/officeDocument/2006/relationships/hyperlink" Target="https://www.inrs.fr/accueil/publications/bdd/fichetox/fiche.html?refINRS=FICHETOX_154&amp;section=VLEPMesurage" TargetMode="External"/><Relationship Id="rId84" Type="http://schemas.openxmlformats.org/officeDocument/2006/relationships/hyperlink" Target="https://www.inrs.fr/accueil/publications/bdd/fichetox/fiche.html?refINRS=FICHETOX_154&amp;section=bibliographieAuteurs" TargetMode="External"/><Relationship Id="rId78" Type="http://schemas.openxmlformats.org/officeDocument/2006/relationships/hyperlink" Target="https://www.inrs.fr/accueil/publications/bdd/fichetox/fiche.html?refINRS=FICHETOX_154&amp;section=caracteristiques" TargetMode="External"/><Relationship Id="rId77" Type="http://schemas.openxmlformats.org/officeDocument/2006/relationships/hyperlink" Target="https://www.inrs.fr/accueil/publications/bdd/fichetox/fiche.html?refINRS=FICHETOX_154&amp;section=generalites" TargetMode="External"/><Relationship Id="rId80" Type="http://schemas.openxmlformats.org/officeDocument/2006/relationships/hyperlink" Target="https://www.inrs.fr/accueil/publications/bdd/fichetox/fiche.html?refINRS=FICHETOX_154&amp;section=incendieExplosion" TargetMode="External"/><Relationship Id="rId81" Type="http://schemas.openxmlformats.org/officeDocument/2006/relationships/hyperlink" Target="https://www.inrs.fr/accueil/publications/bdd/fichetox/fiche.html?refINRS=FICHETOX_154&amp;section=pathologieToxicologie" TargetMode="External"/><Relationship Id="rId83" Type="http://schemas.openxmlformats.org/officeDocument/2006/relationships/hyperlink" Target="https://www.inrs.fr/accueil/publications/bdd/fichetox/fiche.html?refINRS=FICHETOX_154&amp;section=recommandations" TargetMode="External"/><Relationship Id="rId82" Type="http://schemas.openxmlformats.org/officeDocument/2006/relationships/hyperlink" Target="https://www.inrs.fr/accueil/publications/bdd/fichetox/fiche.html?refINRS=FICHETOX_154&amp;section=reglementation" TargetMode="External"/><Relationship Id="rId52" Type="http://schemas.openxmlformats.org/officeDocument/2006/relationships/hyperlink" Target="https://www.inrs.fr/accueil/publications/bdd/fichetox/fiche.html?refINRS=FICHETOX_24" TargetMode="External"/><Relationship Id="rId55" Type="http://schemas.openxmlformats.org/officeDocument/2006/relationships/hyperlink" Target="https://www.inrs.fr/accueil/publications/bdd/fichetox/fiche.html?refINRS=FICHETOX_24&amp;section=VLEPMesurage" TargetMode="External"/><Relationship Id="rId60" Type="http://schemas.openxmlformats.org/officeDocument/2006/relationships/hyperlink" Target="https://www.inrs.fr/accueil/publications/bdd/fichetox/fiche.html?refINRS=FICHETOX_24&amp;section=bibliographieAuteurs" TargetMode="External"/><Relationship Id="rId54" Type="http://schemas.openxmlformats.org/officeDocument/2006/relationships/hyperlink" Target="https://www.inrs.fr/accueil/publications/bdd/fichetox/fiche.html?refINRS=FICHETOX_24&amp;section=caracteristiques" TargetMode="External"/><Relationship Id="rId53" Type="http://schemas.openxmlformats.org/officeDocument/2006/relationships/hyperlink" Target="https://www.inrs.fr/accueil/publications/bdd/fichetox/fiche.html?refINRS=FICHETOX_24&amp;section=generalites" TargetMode="External"/><Relationship Id="rId56" Type="http://schemas.openxmlformats.org/officeDocument/2006/relationships/hyperlink" Target="https://www.inrs.fr/accueil/publications/bdd/fichetox/fiche.html?refINRS=FICHETOX_24&amp;section=incendieExplosion" TargetMode="External"/><Relationship Id="rId57" Type="http://schemas.openxmlformats.org/officeDocument/2006/relationships/hyperlink" Target="https://www.inrs.fr/accueil/publications/bdd/fichetox/fiche.html?refINRS=FICHETOX_24&amp;section=pathologieToxicologie" TargetMode="External"/><Relationship Id="rId59" Type="http://schemas.openxmlformats.org/officeDocument/2006/relationships/hyperlink" Target="https://www.inrs.fr/accueil/publications/bdd/fichetox/fiche.html?refINRS=FICHETOX_24&amp;section=recommandations" TargetMode="External"/><Relationship Id="rId58" Type="http://schemas.openxmlformats.org/officeDocument/2006/relationships/hyperlink" Target="https://www.inrs.fr/accueil/publications/bdd/fichetox/fiche.html?refINRS=FICHETOX_24&amp;section=reglementation" TargetMode="External"/><Relationship Id="rId63" Type="http://schemas.openxmlformats.org/officeDocument/2006/relationships/hyperlink" Target="https://www.inrs.fr/accueil/publications/bdd/fichetox/fiche.html?refINRS=FICHETOX_35" TargetMode="External"/><Relationship Id="rId66" Type="http://schemas.openxmlformats.org/officeDocument/2006/relationships/hyperlink" Target="https://www.inrs.fr/accueil/publications/bdd/fichetox/fiche.html?refINRS=FICHETOX_35&amp;section=VLEPMesurage" TargetMode="External"/><Relationship Id="rId71" Type="http://schemas.openxmlformats.org/officeDocument/2006/relationships/hyperlink" Target="https://www.inrs.fr/accueil/publications/bdd/fichetox/fiche.html?refINRS=FICHETOX_35&amp;section=bibliographieAuteurs" TargetMode="External"/><Relationship Id="rId65" Type="http://schemas.openxmlformats.org/officeDocument/2006/relationships/hyperlink" Target="https://www.inrs.fr/accueil/publications/bdd/fichetox/fiche.html?refINRS=FICHETOX_35&amp;section=caracteristiques" TargetMode="External"/><Relationship Id="rId64" Type="http://schemas.openxmlformats.org/officeDocument/2006/relationships/hyperlink" Target="https://www.inrs.fr/accueil/publications/bdd/fichetox/fiche.html?refINRS=FICHETOX_35&amp;section=generalites" TargetMode="External"/><Relationship Id="rId67" Type="http://schemas.openxmlformats.org/officeDocument/2006/relationships/hyperlink" Target="https://www.inrs.fr/accueil/publications/bdd/fichetox/fiche.html?refINRS=FICHETOX_35&amp;section=incendieExplosion" TargetMode="External"/><Relationship Id="rId68" Type="http://schemas.openxmlformats.org/officeDocument/2006/relationships/hyperlink" Target="https://www.inrs.fr/accueil/publications/bdd/fichetox/fiche.html?refINRS=FICHETOX_35&amp;section=pathologieToxicologie" TargetMode="External"/><Relationship Id="rId70" Type="http://schemas.openxmlformats.org/officeDocument/2006/relationships/hyperlink" Target="https://www.inrs.fr/accueil/publications/bdd/fichetox/fiche.html?refINRS=FICHETOX_35&amp;section=recommandations" TargetMode="External"/><Relationship Id="rId69" Type="http://schemas.openxmlformats.org/officeDocument/2006/relationships/hyperlink" Target="https://www.inrs.fr/accueil/publications/bdd/fichetox/fiche.html?refINRS=FICHETOX_35&amp;section=reglementation" TargetMode="External"/><Relationship Id="rId41" Type="http://schemas.openxmlformats.org/officeDocument/2006/relationships/hyperlink" Target="https://www.inrs.fr/accueil/publications/bdd/fichetox/fiche.html?refINRS=FICHETOX_48" TargetMode="External"/><Relationship Id="rId44" Type="http://schemas.openxmlformats.org/officeDocument/2006/relationships/hyperlink" Target="https://www.inrs.fr/accueil/publications/bdd/fichetox/fiche.html?refINRS=FICHETOX_48&amp;section=VLEPMesurage" TargetMode="External"/><Relationship Id="rId49" Type="http://schemas.openxmlformats.org/officeDocument/2006/relationships/hyperlink" Target="https://www.inrs.fr/accueil/publications/bdd/fichetox/fiche.html?refINRS=FICHETOX_48&amp;section=bibliographieAuteurs" TargetMode="External"/><Relationship Id="rId43" Type="http://schemas.openxmlformats.org/officeDocument/2006/relationships/hyperlink" Target="https://www.inrs.fr/accueil/publications/bdd/fichetox/fiche.html?refINRS=FICHETOX_48&amp;section=caracteristiques" TargetMode="External"/><Relationship Id="rId42" Type="http://schemas.openxmlformats.org/officeDocument/2006/relationships/hyperlink" Target="https://www.inrs.fr/accueil/publications/bdd/fichetox/fiche.html?refINRS=FICHETOX_48&amp;section=generalites" TargetMode="External"/><Relationship Id="rId45" Type="http://schemas.openxmlformats.org/officeDocument/2006/relationships/hyperlink" Target="https://www.inrs.fr/accueil/publications/bdd/fichetox/fiche.html?refINRS=FICHETOX_48&amp;section=incendieExplosion" TargetMode="External"/><Relationship Id="rId46" Type="http://schemas.openxmlformats.org/officeDocument/2006/relationships/hyperlink" Target="https://www.inrs.fr/accueil/publications/bdd/fichetox/fiche.html?refINRS=FICHETOX_48&amp;section=pathologieToxicologie" TargetMode="External"/><Relationship Id="rId48" Type="http://schemas.openxmlformats.org/officeDocument/2006/relationships/hyperlink" Target="https://www.inrs.fr/accueil/publications/bdd/fichetox/fiche.html?refINRS=FICHETOX_48&amp;section=recommandations" TargetMode="External"/><Relationship Id="rId47" Type="http://schemas.openxmlformats.org/officeDocument/2006/relationships/hyperlink" Target="https://www.inrs.fr/accueil/publications/bdd/fichetox/fiche.html?refINRS=FICHETOX_48&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2026-07-06T11:06:41Z</dcterms:created>
  <dcterms:modified xsi:type="dcterms:W3CDTF">2026-07-06T11:06:41Z</dcterms:modified>
</cp:coreProperties>
</file>

<file path=docProps/custom.xml><?xml version="1.0" encoding="utf-8"?>
<Properties xmlns="http://schemas.openxmlformats.org/officeDocument/2006/custom-properties" xmlns:vt="http://schemas.openxmlformats.org/officeDocument/2006/docPropsVTypes"/>
</file>