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dnaawayfdsvwr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VWR International bv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dnaawayfdsvwr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5" w:name="analyse-des-dangers-dnaawayfdsvwr"/>
    <w:p>
      <w:pPr>
        <w:pStyle w:val="Heading1"/>
      </w:pPr>
      <w:r>
        <w:t xml:space="preserve">Analyse des dangers : dnaawayfdsvwr</w:t>
      </w:r>
    </w:p>
    <w:p>
      <w:pPr>
        <w:pStyle w:val="FirstParagraph"/>
      </w:pPr>
      <w:r>
        <w:t xml:space="preserve">Dans la suite, nous détaillons les dangers associés au produit</w:t>
      </w:r>
      <w:r>
        <w:t xml:space="preserve"> </w:t>
      </w:r>
      <w:r>
        <w:rPr>
          <w:b/>
          <w:bCs/>
        </w:rPr>
        <w:t xml:space="preserve">dnaawayfdsvwr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VWR International bv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6-9</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Réactif chimique à usage général.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2024-02-26</w:t>
            </w:r>
          </w:p>
        </w:tc>
      </w:tr>
    </w:tbl>
    <w:p>
      <w:pPr>
        <w:pStyle w:val="BodyText"/>
      </w:pPr>
      <w:r>
        <w:t xml:space="preserve"> </w:t>
      </w:r>
      <w:r>
        <w:t xml:space="preserve">La FDS date du 2024-02-26.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Laver avec précaution et abondamment à l’eau et au savon.</w:t>
      </w:r>
      <w:r>
        <w:t xml:space="preserve"> </w:t>
      </w:r>
      <w:r>
        <w:t xml:space="preserve">En cas de réactions cutanées, consulter un médecin.</w:t>
      </w:r>
    </w:p>
    <w:p>
      <w:pPr>
        <w:pStyle w:val="BodyText"/>
      </w:pPr>
      <w:r>
        <w:t xml:space="preserve">eyes : Rincer soigneusement et abondamment avec une douche oculaire ou de l’eau.</w:t>
      </w:r>
      <w:r>
        <w:t xml:space="preserve"> </w:t>
      </w:r>
      <w:r>
        <w:t xml:space="preserve">Consulter un médecin si des symptômes apparaissent.</w:t>
      </w:r>
    </w:p>
    <w:p>
      <w:pPr>
        <w:pStyle w:val="BodyText"/>
      </w:pPr>
      <w:r>
        <w:t xml:space="preserve">ingestion : Rincer la bouche abondamment à l’eau.</w:t>
      </w:r>
      <w:r>
        <w:t xml:space="preserve"> </w:t>
      </w:r>
      <w:r>
        <w:t xml:space="preserve">Appeler un médecin en cas de malaise.</w:t>
      </w:r>
    </w:p>
    <w:p>
      <w:pPr>
        <w:pStyle w:val="BodyText"/>
      </w:pPr>
      <w:r>
        <w:t xml:space="preserve">inhalation : Transporter la victime à l’air libre.</w:t>
      </w:r>
      <w:r>
        <w:t xml:space="preserve"> </w:t>
      </w:r>
      <w:r>
        <w:t xml:space="preserve">La garder au chaud et au repos.</w:t>
      </w:r>
      <w:r>
        <w:t xml:space="preserve"> </w:t>
      </w:r>
      <w:r>
        <w:t xml:space="preserve">Consulter un médecin si des symptômes apparaissent.</w:t>
      </w:r>
    </w:p>
    <w:p>
      <w:r>
        <w:br w:type="page"/>
      </w:r>
    </w:p>
    <w:bookmarkEnd w:id="31"/>
    <w:bookmarkStart w:id="32" w:name="Xd3fd47f9279b52cc9d4b00e07bdfde0bea6594f"/>
    <w:p>
      <w:pPr>
        <w:pStyle w:val="Heading2"/>
      </w:pPr>
      <w:r>
        <w:t xml:space="preserve">Informations relatives aux substances dangereuses présentes</w:t>
      </w:r>
    </w:p>
    <w:bookmarkEnd w:id="32"/>
    <w:bookmarkStart w:id="3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1. Bref contact avec la peau • Matériau : NBR (caoutchouc nitrile) • Épaisseur : 0,12 mm • Temps de pénétration : &gt; 480 min • Modèle recommandé : VWR 112-0998 2. Contact fréquent avec les mains • Matériau : NBR (caoutchouc nitrile) • Épaisseur : 0,38 mm • Temps de pénétration : &gt; 480 min • Modèles recommandés : VWR 112-3717 / 112-1381</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Lunettes avec protections sur les côtés, normes DIN/EN EN 166. Protection yeux/visage : Lunettes avec protections sur les côtés normes DIN/EN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Vêtements de protection Vêtements de protection appropriés, marqués CE, incluant un numéro de contrôle à quatre chiffres. Porter un vêtement de protection approprié. Lors de la manipulation de substances chimiques, porter exclusivement des vêtements de protection appropriés avec un marquage CE, incluant un numéro de contrôle à quatre chiffres.</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En principe, pas besoin d’une protection respiratoire individuelle. Protection respiratoire: En principe, pas besoin d’une protection respiratoire individuelle.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Vêtements de protection appropriés, marqués CE, incluant un numéro de contrôle à quatre chiffres. Porter un vêtement de protection approprié. Lors de la manipulation de substances chimiques, porter exclusivement des vêtements de protection appropriés avec un marquage CE, incluant un numéro de contrôle à quatre chiffres.</w:t>
            </w:r>
          </w:p>
        </w:tc>
      </w:tr>
    </w:tbl>
    <w:bookmarkEnd w:id="33"/>
    <w:bookmarkStart w:id="3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Aucune mesure particulière n’est exigée pour une manipulation sans danger.</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d’un stockage sûr, y compris d’éventuelles incompatibilités - Température de stockage recommandée : aucune donnée disponible. - Classe de stockage : aucune donnée disponible. - Conservation : - Stocker dans un endroit sec. - Stocker dans un récipient fermé. - Maintenir l’emballage au sec et bien fermé pour éviter une contamination et l’absorption d’humidité. - Conserver à l’écart de la chaleur. - Matériaux d’emballage : Polyéthylène. - Matériaux et revêtements des conteneurs/équipements inappropriés : aucune information disponible. - Incompatibilités : aucune information supplémentaire et pertinente disponible.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Réactif chimique à usage général.</w:t>
            </w:r>
          </w:p>
        </w:tc>
      </w:tr>
    </w:tbl>
    <w:bookmarkEnd w:id="34"/>
    <w:bookmarkEnd w:id="3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2026-07-06T11:07:21Z</dcterms:created>
  <dcterms:modified xsi:type="dcterms:W3CDTF">2026-07-06T11:07:21Z</dcterms:modified>
</cp:coreProperties>
</file>

<file path=docProps/custom.xml><?xml version="1.0" encoding="utf-8"?>
<Properties xmlns="http://schemas.openxmlformats.org/officeDocument/2006/custom-properties" xmlns:vt="http://schemas.openxmlformats.org/officeDocument/2006/docPropsVTypes"/>
</file>