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ecoli_o157_latex_testdr0620mthermofisher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Oxoid Ltd</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ecoli_o157_latex_testdr0620mthermofisher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7" w:name="X29d2b92b01f9fcb5afa45d38b1f5e16bca7aac1"/>
    <w:p>
      <w:pPr>
        <w:pStyle w:val="Heading1"/>
      </w:pPr>
      <w:r>
        <w:t xml:space="preserve">Analyse des dangers : ecoli_o157_latex_testdr0620mthermofisher</w:t>
      </w:r>
    </w:p>
    <w:p>
      <w:pPr>
        <w:pStyle w:val="FirstParagraph"/>
      </w:pPr>
      <w:r>
        <w:t xml:space="preserve">Dans la suite, nous détaillons les dangers associés au produit</w:t>
      </w:r>
      <w:r>
        <w:t xml:space="preserve"> </w:t>
      </w:r>
      <w:r>
        <w:rPr>
          <w:b/>
          <w:bCs/>
        </w:rPr>
        <w:t xml:space="preserve">ecoli_o157_latex_testdr0620mthermofisher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Oxoid Ltd</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recommandée : substances chimiques de laboratoire.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2021-12-10</w:t>
            </w:r>
          </w:p>
        </w:tc>
      </w:tr>
    </w:tbl>
    <w:p>
      <w:pPr>
        <w:pStyle w:val="BodyText"/>
      </w:pPr>
      <w:r>
        <w:t xml:space="preserve"> </w:t>
      </w:r>
      <w:r>
        <w:t xml:space="preserve">La FDS date du 2021-12-10. Elle a donc 4 an(s).</w:t>
      </w:r>
      <w:r>
        <w:t xml:space="preserve"> </w:t>
      </w:r>
      <w:r>
        <w:t xml:space="preserve">La FDS ayant plus de 3 ans, il est</w:t>
      </w:r>
      <w:r>
        <w:t xml:space="preserve"> </w:t>
      </w:r>
      <w:r>
        <w:rPr>
          <w:i/>
          <w:iCs/>
        </w:rPr>
        <w:t xml:space="preserve">recommandé</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pas disponible</w:t>
      </w:r>
    </w:p>
    <w:p>
      <w:pPr>
        <w:pStyle w:val="Compact"/>
        <w:numPr>
          <w:ilvl w:val="0"/>
          <w:numId w:val="1003"/>
        </w:numPr>
      </w:pPr>
      <w:r>
        <w:t xml:space="preserve">RID : pas disponible</w:t>
      </w:r>
    </w:p>
    <w:p>
      <w:pPr>
        <w:pStyle w:val="Compact"/>
        <w:numPr>
          <w:ilvl w:val="0"/>
          <w:numId w:val="1003"/>
        </w:numPr>
      </w:pPr>
      <w:r>
        <w:t xml:space="preserve">ADN : pas disponible</w:t>
      </w:r>
    </w:p>
    <w:p>
      <w:pPr>
        <w:pStyle w:val="Compact"/>
        <w:numPr>
          <w:ilvl w:val="0"/>
          <w:numId w:val="1003"/>
        </w:numPr>
      </w:pPr>
      <w:r>
        <w:t xml:space="preserve">IMDG : pas disponible</w:t>
      </w:r>
    </w:p>
    <w:p>
      <w:pPr>
        <w:pStyle w:val="Compact"/>
        <w:numPr>
          <w:ilvl w:val="0"/>
          <w:numId w:val="1003"/>
        </w:numPr>
      </w:pPr>
      <w:r>
        <w:t xml:space="preserve">IATA : pas disponible</w:t>
      </w:r>
    </w:p>
    <w:p>
      <w:pPr>
        <w:pStyle w:val="Compact"/>
        <w:numPr>
          <w:ilvl w:val="0"/>
          <w:numId w:val="1003"/>
        </w:numPr>
      </w:pPr>
      <w:r>
        <w:t xml:space="preserve">UN : pas disponible</w:t>
      </w:r>
    </w:p>
    <w:bookmarkEnd w:id="30"/>
    <w:bookmarkStart w:id="31" w:name="Xda6f178de632779b007ca26fa4959a763d2c7f4"/>
    <w:p>
      <w:pPr>
        <w:pStyle w:val="Heading2"/>
      </w:pPr>
      <w:r>
        <w:t xml:space="preserve">Dangers et/ou mesures par voie d’exposition</w:t>
      </w:r>
    </w:p>
    <w:p>
      <w:pPr>
        <w:pStyle w:val="FirstParagraph"/>
      </w:pPr>
      <w:r>
        <w:t xml:space="preserve">skin : • Rincer immédiatement et abondamment à l’eau pendant au moins 15 minutes.</w:t>
      </w:r>
      <w:r>
        <w:t xml:space="preserve"> </w:t>
      </w:r>
      <w:r>
        <w:t xml:space="preserve">• Consulter immédiatement un médecin en cas de symptômes.</w:t>
      </w:r>
    </w:p>
    <w:p>
      <w:pPr>
        <w:pStyle w:val="BodyText"/>
      </w:pPr>
      <w:r>
        <w:t xml:space="preserve">eyes : • Rincer immédiatement et abondamment à l’eau, y compris sous les paupières, pendant au moins 15 minutes.</w:t>
      </w:r>
      <w:r>
        <w:t xml:space="preserve"> </w:t>
      </w:r>
      <w:r>
        <w:t xml:space="preserve">• Consulter un médecin.</w:t>
      </w:r>
    </w:p>
    <w:p>
      <w:pPr>
        <w:pStyle w:val="BodyText"/>
      </w:pPr>
      <w:r>
        <w:t xml:space="preserve">ingestion : • Nettoyer la bouche à l’eau.</w:t>
      </w:r>
      <w:r>
        <w:t xml:space="preserve"> </w:t>
      </w:r>
      <w:r>
        <w:t xml:space="preserve">• Boire une grande quantité d’eau.</w:t>
      </w:r>
      <w:r>
        <w:t xml:space="preserve"> </w:t>
      </w:r>
      <w:r>
        <w:t xml:space="preserve">• Consulter un médecin en cas de symptômes.</w:t>
      </w:r>
    </w:p>
    <w:p>
      <w:pPr>
        <w:pStyle w:val="BodyText"/>
      </w:pPr>
      <w:r>
        <w:t xml:space="preserve">inhalation : • Transporter la victime à l’air frais.</w:t>
      </w:r>
      <w:r>
        <w:t xml:space="preserve"> </w:t>
      </w:r>
      <w:r>
        <w:t xml:space="preserve">• Consulter immédiatement un médecin en cas de symptômes.</w:t>
      </w:r>
    </w:p>
    <w:p>
      <w:r>
        <w:br w:type="page"/>
      </w:r>
    </w:p>
    <w:bookmarkEnd w:id="31"/>
    <w:bookmarkStart w:id="34" w:name="Xd3fd47f9279b52cc9d4b00e07bdfde0bea6594f"/>
    <w:p>
      <w:pPr>
        <w:pStyle w:val="Heading2"/>
      </w:pPr>
      <w:r>
        <w:t xml:space="preserve">Informations relatives aux substances dangereuses présentes</w:t>
      </w:r>
    </w:p>
    <w:bookmarkStart w:id="33" w:name="azoture-de-sodium"/>
    <w:p>
      <w:pPr>
        <w:pStyle w:val="Heading3"/>
      </w:pPr>
      <w:r>
        <w:t xml:space="preserve">Azoture de sodium</w:t>
      </w:r>
    </w:p>
    <w:p>
      <w:pPr>
        <w:pStyle w:val="FirstParagraph"/>
      </w:pPr>
      <w:r>
        <w:rPr>
          <w:b/>
          <w:bCs/>
        </w:rPr>
        <w:t xml:space="preserve">Identification</w:t>
      </w:r>
    </w:p>
    <w:p>
      <w:pPr>
        <w:pStyle w:val="Compact"/>
        <w:numPr>
          <w:ilvl w:val="0"/>
          <w:numId w:val="1004"/>
        </w:numPr>
      </w:pPr>
      <w:r>
        <w:t xml:space="preserve">N° CAS : 26628-22-8</w:t>
      </w:r>
    </w:p>
    <w:p>
      <w:pPr>
        <w:pStyle w:val="Compact"/>
        <w:numPr>
          <w:ilvl w:val="0"/>
          <w:numId w:val="1004"/>
        </w:numPr>
      </w:pPr>
      <w:r>
        <w:t xml:space="preserve">N° EINECS : 247-852-1</w:t>
      </w:r>
    </w:p>
    <w:p>
      <w:pPr>
        <w:pStyle w:val="FirstParagraph"/>
      </w:pPr>
      <w:r>
        <w:rPr>
          <w:b/>
          <w:bCs/>
        </w:rPr>
        <w:t xml:space="preserve">Concentration</w:t>
      </w:r>
      <w:r>
        <w:t xml:space="preserve"> </w:t>
      </w:r>
      <w:r>
        <w:t xml:space="preserve">:from 0.1 to 0.1</w:t>
      </w:r>
    </w:p>
    <w:p>
      <w:pPr>
        <w:pStyle w:val="BodyText"/>
      </w:pPr>
      <w:r>
        <w:rPr>
          <w:b/>
          <w:bCs/>
        </w:rPr>
        <w:t xml:space="preserve">Dangers</w:t>
      </w:r>
      <w:r>
        <w:t xml:space="preserve"> </w:t>
      </w:r>
      <w:r>
        <w:t xml:space="preserve">:</w:t>
      </w:r>
    </w:p>
    <w:p>
      <w:pPr>
        <w:numPr>
          <w:ilvl w:val="0"/>
          <w:numId w:val="1005"/>
        </w:numPr>
      </w:pPr>
      <w:r>
        <w:t xml:space="preserve">H300</w:t>
      </w:r>
      <w:r>
        <w:t xml:space="preserve"> </w:t>
      </w:r>
      <w:r>
        <w:t xml:space="preserve">Fatal if swallowed.</w:t>
      </w:r>
    </w:p>
    <w:p>
      <w:pPr>
        <w:numPr>
          <w:ilvl w:val="0"/>
          <w:numId w:val="1005"/>
        </w:numPr>
      </w:pPr>
      <w:r>
        <w:t xml:space="preserve">H400</w:t>
      </w:r>
      <w:r>
        <w:t xml:space="preserve"> </w:t>
      </w:r>
      <w:r>
        <w:t xml:space="preserve">Très toxique pour les organismes aquatiques.</w:t>
      </w:r>
    </w:p>
    <w:p>
      <w:pPr>
        <w:numPr>
          <w:ilvl w:val="0"/>
          <w:numId w:val="1005"/>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2" w:name="propriétés"/>
    <w:p>
      <w:pPr>
        <w:pStyle w:val="Heading4"/>
      </w:pPr>
      <w:r>
        <w:t xml:space="preserve">Propriétés</w:t>
      </w:r>
    </w:p>
    <w:p>
      <w:pPr>
        <w:pStyle w:val="FirstParagraph"/>
      </w:pPr>
      <w:r>
        <w:t xml:space="preserve">Pas d’informations disponible.</w:t>
      </w:r>
    </w:p>
    <w:bookmarkEnd w:id="32"/>
    <w:bookmarkEnd w:id="33"/>
    <w:bookmarkEnd w:id="34"/>
    <w:bookmarkStart w:id="35"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Gants jetables. Norme européenne : EN 374 (exigence minimale)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Lunettes de sécurité à écrans latéraux ou lunettes étanches. Norme européenne :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Aucun masque ou filtre respiratoire n’est requis sous des conditions d’utilisation normale.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Aucun vêtement spécifique n’est mentionné dans la section.</w:t>
            </w:r>
          </w:p>
        </w:tc>
      </w:tr>
    </w:tbl>
    <w:bookmarkEnd w:id="35"/>
    <w:bookmarkStart w:id="36"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tout contact avec la peau, les yeux et les vêtements. Porter un équipement de protection individuelle (gants, vêtements de protection, protection du visage). Mettre en place une ventilation adaptée. Éviter l’ingestion et l’inhalation. Manipuler conformément aux bonnes pratiques industrielles d’hygiène et de sécurité, conserver à l’écart des aliments et boissons, ne pas manger, boire ou fumer en manipulant ce produit, retirer et laver les gants et vêtements contaminés avant réutilisation, se laver les mains avant les pauses et après le travail.</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les récipients bien fermés, au sec et dans un endroit frais et bien ventilé. Aucune incompatibilité spécifique n’est mentionnée.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recommandée : substances chimiques de laboratoire.</w:t>
            </w:r>
          </w:p>
        </w:tc>
      </w:tr>
    </w:tbl>
    <w:bookmarkEnd w:id="36"/>
    <w:bookmarkEnd w:id="37"/>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2026-07-06T11:07:30Z</dcterms:created>
  <dcterms:modified xsi:type="dcterms:W3CDTF">2026-07-06T11:07:30Z</dcterms:modified>
</cp:coreProperties>
</file>

<file path=docProps/custom.xml><?xml version="1.0" encoding="utf-8"?>
<Properties xmlns="http://schemas.openxmlformats.org/officeDocument/2006/custom-properties" xmlns:vt="http://schemas.openxmlformats.org/officeDocument/2006/docPropsVTypes"/>
</file>