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enzyclear2_its_413031_02-12-20261350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InterScience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enzyclear2_its_413031_02-12-20261350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8" w:name="Xd51825fe41e19fa15062ded98b135b11397087d"/>
    <w:p>
      <w:pPr>
        <w:pStyle w:val="Heading1"/>
      </w:pPr>
      <w:r>
        <w:t xml:space="preserve">Analyse des dangers : enzyclear2_its_413031_02-12-20261350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enzyclear2_its_413031_02-12-20261350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InterScience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une poudre fine, poudre, grains, granulés, pastilles ou pâte.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à 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EnzyClear 2 est un détergent tri-enzymatique spécialement utilisé pour le nettoyage des équipements EasySpiral.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2026-12-02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2026-12-02. Elle a donc -1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P101</w:t>
      </w:r>
      <w:r>
        <w:t xml:space="preserve"> </w:t>
      </w:r>
      <w:r>
        <w:t xml:space="preserve">In case of consulting a doctor, keep the container or label handy.</w:t>
      </w:r>
    </w:p>
    <w:p>
      <w:pPr>
        <w:numPr>
          <w:ilvl w:val="0"/>
          <w:numId w:val="1003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Enlevez les vêtements contaminés.</w:t>
      </w:r>
      <w:r>
        <w:t xml:space="preserve"> </w:t>
      </w:r>
      <w:r>
        <w:t xml:space="preserve">Lavez immédiatement la zone touchée à l’eau et au savon, en rinçant abondamment.</w:t>
      </w:r>
      <w:r>
        <w:t xml:space="preserve"> </w:t>
      </w:r>
      <w:r>
        <w:t xml:space="preserve">Si une irritation survient, consultez un médecin.</w:t>
      </w:r>
    </w:p>
    <w:p>
      <w:pPr>
        <w:pStyle w:val="BodyText"/>
      </w:pPr>
      <w:r>
        <w:t xml:space="preserve">yeux : Rincez immédiatement les yeux à l’eau abondante, en soulevant les paupières supérieures et inférieures de temps en temps.</w:t>
      </w:r>
      <w:r>
        <w:t xml:space="preserve"> </w:t>
      </w:r>
      <w:r>
        <w:t xml:space="preserve">Vérifiez la présence de lentilles de contact et retirez-les.</w:t>
      </w:r>
      <w:r>
        <w:t xml:space="preserve"> </w:t>
      </w:r>
      <w:r>
        <w:t xml:space="preserve">Continuez le rinçage pendant au moins 10 minutes.</w:t>
      </w:r>
      <w:r>
        <w:t xml:space="preserve"> </w:t>
      </w:r>
      <w:r>
        <w:t xml:space="preserve">Consultez un médecin si une irritation survient.</w:t>
      </w:r>
      <w:r>
        <w:t xml:space="preserve"> </w:t>
      </w:r>
      <w:r>
        <w:t xml:space="preserve">Évitez d’utiliser un jet d’eau puissant pour éviter les dommages à la cornée ; consultez un médecin.</w:t>
      </w:r>
    </w:p>
    <w:p>
      <w:pPr>
        <w:pStyle w:val="BodyText"/>
      </w:pPr>
      <w:r>
        <w:t xml:space="preserve">ingestion : Buvez beaucoup d’eau et fournissez de l’air frais.</w:t>
      </w:r>
      <w:r>
        <w:t xml:space="preserve"> </w:t>
      </w:r>
      <w:r>
        <w:t xml:space="preserve">Appelez un médecin immédiatement.</w:t>
      </w:r>
      <w:r>
        <w:t xml:space="preserve"> </w:t>
      </w:r>
      <w:r>
        <w:t xml:space="preserve">Consultez immédiatement un professionnel de la santé.</w:t>
      </w:r>
    </w:p>
    <w:p>
      <w:pPr>
        <w:pStyle w:val="BodyText"/>
      </w:pPr>
      <w:r>
        <w:t xml:space="preserve">inhalation : Si la personne est inconsciente, placez-la dans une position latérale stable pour le transport.</w:t>
      </w:r>
      <w:r>
        <w:t xml:space="preserve"> </w:t>
      </w:r>
      <w:r>
        <w:t xml:space="preserve">Consultez un médecin.</w:t>
      </w:r>
    </w:p>
    <w:p>
      <w:r>
        <w:br w:type="page"/>
      </w:r>
    </w:p>
    <w:bookmarkEnd w:id="31"/>
    <w:bookmarkStart w:id="4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ubtilisin"/>
    <w:p>
      <w:pPr>
        <w:pStyle w:val="Heading3"/>
      </w:pPr>
      <w:r>
        <w:t xml:space="preserve">Subtilisin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9014-01-1</w:t>
      </w:r>
    </w:p>
    <w:p>
      <w:pPr>
        <w:pStyle w:val="Compact"/>
        <w:numPr>
          <w:ilvl w:val="0"/>
          <w:numId w:val="1005"/>
        </w:numPr>
      </w:pPr>
      <w:r>
        <w:t xml:space="preserve">N° EINECS : 232-752-2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0,1 à 0,25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6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6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numPr>
          <w:ilvl w:val="0"/>
          <w:numId w:val="1006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6e-05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44" w:name="propane-12-diol"/>
    <w:p>
      <w:pPr>
        <w:pStyle w:val="Heading3"/>
      </w:pPr>
      <w:r>
        <w:t xml:space="preserve">Propane-1,2-diol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57-55-6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4">
        <w:r>
          <w:rPr>
            <w:rStyle w:val="Hyperlink"/>
            <w:color w:val="0856A0"/>
            <w:u w:val="single"/>
          </w:rPr>
          <w:t xml:space="preserve">FICHEFévrier 2020Fiche n°226 - Propylène-glycolFiche présentant l’essentiel des données d’hygiène et de sécurité relatives à« Propylène-glycol »avec un rappel de la réglementation française et des recommandations techniques et médicales.En savoir plus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Incendie - Explosion[14-16]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3"/>
    <w:bookmarkEnd w:id="44"/>
    <w:bookmarkEnd w:id="45"/>
    <w:bookmarkStart w:id="4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appropriés conformes à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matériau des gants doit être imperméable et résistant au produit.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 matériau de gant spécifique n’est recommandé car les données sur le temps de pénétration sont manquantes ; par conséquent, l’utilisateur doit choisir un gant qui répond aux critères ci-dessus et convient à l’exposition prévue.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Si des données sur le temps de pénétration étaient disponibles, un temps de port maximal de 50 % du temps de pénétration serait conseillé.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protection sont recommandées pendant le remplissage et la manipulation générale.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 écran facial n’est spécifié, mais des lunettes devraient assurer une étanchéité autour des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vêtements de travail de protection (par exemple, une blouse de laboratoire ou une combinaison) pour éviter tout contact avec la peau.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Aucune matière ou épaisseur spécifique n’est indiquée ; les vêtements doivent être résistants au produit et constituer une barrière contre les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Utilisez un dispositif de protection respiratoire approprié (par exemple, un respirateur avec filtre adapté) si la ventilation est insuffisante.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 La FDS ne spécifie pas de type de filtre particulier ; l’utilisateur doit choisir un appareil qui offre une protection adéquate contre les vapeurs ou aérosols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vêtements de travail de protection (par exemple, une blouse de laboratoire ou une combinaison) pour éviter tout contact avec la peau.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Aucune matière ou épaisseur spécifique n’est indiquée ; les vêtements doivent être résistants au produit et constituer une barrière contre les éclaboussures.</w:t>
            </w:r>
          </w:p>
        </w:tc>
      </w:tr>
    </w:tbl>
    <w:bookmarkEnd w:id="46"/>
    <w:bookmarkStart w:id="4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Gardez les récipients hermétiquement fermés. - Évitez tout contact avec la peau, les yeux et les vêtements. - Assurez une bonne ventilation/évacuation sur le lieu de travail. - Lavez les vêtements contaminés avant de les réutiliser. - Ne mangez pas, ne buvez pas et ne fumez pas pendant l’utilisation du produit. - Lavez-vous soigneusement les mains après manipulation. Informations concernant la protection contre l’incendie et les explosions : aucune mesure particulière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des conditions fraîches et sèches dans des récipients bien fermés. - Garder les contenants hermétiquement fermés. - Ranger à un endroit frais. - Ranger loin des agents oxydants. - Protéger de la chaleur et de la lumière directe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EnzyClear 2 est un détergent tri-enzymatique spécialement utilisé pour le nettoyage des équipements EasySpiral.</w:t>
            </w:r>
          </w:p>
        </w:tc>
      </w:tr>
    </w:tbl>
    <w:bookmarkEnd w:id="47"/>
    <w:bookmarkEnd w:id="4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4" Type="http://schemas.openxmlformats.org/officeDocument/2006/relationships/hyperlink" Target="https://www.inrs.fr/accueil/publications/bdd/fichetox/fiche.html?refINRS=FICHETOX_226" TargetMode="External"/><Relationship Id="rId37" Type="http://schemas.openxmlformats.org/officeDocument/2006/relationships/hyperlink" Target="https://www.inrs.fr/accueil/publications/bdd/fichetox/fiche.html?refINRS=FICHETOX_226&amp;section=VLEPMesurage" TargetMode="External"/><Relationship Id="rId42" Type="http://schemas.openxmlformats.org/officeDocument/2006/relationships/hyperlink" Target="https://www.inrs.fr/accueil/publications/bdd/fichetox/fiche.html?refINRS=FICHETOX_226&amp;section=bibliographieAuteurs" TargetMode="External"/><Relationship Id="rId36" Type="http://schemas.openxmlformats.org/officeDocument/2006/relationships/hyperlink" Target="https://www.inrs.fr/accueil/publications/bdd/fichetox/fiche.html?refINRS=FICHETOX_226&amp;section=caracteristiques" TargetMode="External"/><Relationship Id="rId35" Type="http://schemas.openxmlformats.org/officeDocument/2006/relationships/hyperlink" Target="https://www.inrs.fr/accueil/publications/bdd/fichetox/fiche.html?refINRS=FICHETOX_226&amp;section=generalites" TargetMode="External"/><Relationship Id="rId38" Type="http://schemas.openxmlformats.org/officeDocument/2006/relationships/hyperlink" Target="https://www.inrs.fr/accueil/publications/bdd/fichetox/fiche.html?refINRS=FICHETOX_226&amp;section=incendieExplosion" TargetMode="External"/><Relationship Id="rId39" Type="http://schemas.openxmlformats.org/officeDocument/2006/relationships/hyperlink" Target="https://www.inrs.fr/accueil/publications/bdd/fichetox/fiche.html?refINRS=FICHETOX_226&amp;section=pathologieToxicologie" TargetMode="External"/><Relationship Id="rId41" Type="http://schemas.openxmlformats.org/officeDocument/2006/relationships/hyperlink" Target="https://www.inrs.fr/accueil/publications/bdd/fichetox/fiche.html?refINRS=FICHETOX_226&amp;section=recommandations" TargetMode="External"/><Relationship Id="rId40" Type="http://schemas.openxmlformats.org/officeDocument/2006/relationships/hyperlink" Target="https://www.inrs.fr/accueil/publications/bdd/fichetox/fiche.html?refINRS=FICHETOX_22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4" Type="http://schemas.openxmlformats.org/officeDocument/2006/relationships/hyperlink" Target="https://www.inrs.fr/accueil/publications/bdd/fichetox/fiche.html?refINRS=FICHETOX_226" TargetMode="External"/><Relationship Id="rId37" Type="http://schemas.openxmlformats.org/officeDocument/2006/relationships/hyperlink" Target="https://www.inrs.fr/accueil/publications/bdd/fichetox/fiche.html?refINRS=FICHETOX_226&amp;section=VLEPMesurage" TargetMode="External"/><Relationship Id="rId42" Type="http://schemas.openxmlformats.org/officeDocument/2006/relationships/hyperlink" Target="https://www.inrs.fr/accueil/publications/bdd/fichetox/fiche.html?refINRS=FICHETOX_226&amp;section=bibliographieAuteurs" TargetMode="External"/><Relationship Id="rId36" Type="http://schemas.openxmlformats.org/officeDocument/2006/relationships/hyperlink" Target="https://www.inrs.fr/accueil/publications/bdd/fichetox/fiche.html?refINRS=FICHETOX_226&amp;section=caracteristiques" TargetMode="External"/><Relationship Id="rId35" Type="http://schemas.openxmlformats.org/officeDocument/2006/relationships/hyperlink" Target="https://www.inrs.fr/accueil/publications/bdd/fichetox/fiche.html?refINRS=FICHETOX_226&amp;section=generalites" TargetMode="External"/><Relationship Id="rId38" Type="http://schemas.openxmlformats.org/officeDocument/2006/relationships/hyperlink" Target="https://www.inrs.fr/accueil/publications/bdd/fichetox/fiche.html?refINRS=FICHETOX_226&amp;section=incendieExplosion" TargetMode="External"/><Relationship Id="rId39" Type="http://schemas.openxmlformats.org/officeDocument/2006/relationships/hyperlink" Target="https://www.inrs.fr/accueil/publications/bdd/fichetox/fiche.html?refINRS=FICHETOX_226&amp;section=pathologieToxicologie" TargetMode="External"/><Relationship Id="rId41" Type="http://schemas.openxmlformats.org/officeDocument/2006/relationships/hyperlink" Target="https://www.inrs.fr/accueil/publications/bdd/fichetox/fiche.html?refINRS=FICHETOX_226&amp;section=recommandations" TargetMode="External"/><Relationship Id="rId40" Type="http://schemas.openxmlformats.org/officeDocument/2006/relationships/hyperlink" Target="https://www.inrs.fr/accueil/publications/bdd/fichetox/fiche.html?refINRS=FICHETOX_22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2026-07-06T11:09:05Z</dcterms:created>
  <dcterms:modified xsi:type="dcterms:W3CDTF">2026-07-06T11:09:05Z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