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ethanol99dnaturvwr</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VWR International Ltd.</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2026-07-06</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0.7.1</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ethanol99dnaturvwr</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74" w:name="analyse-des-dangers-ethanol99dnaturvwr"/>
    <w:p>
      <w:pPr>
        <w:pStyle w:val="Heading1"/>
      </w:pPr>
      <w:r>
        <w:t xml:space="preserve">Analyse des dangers : ethanol99dnaturvwr</w:t>
      </w:r>
    </w:p>
    <w:p>
      <w:pPr>
        <w:pStyle w:val="FirstParagraph"/>
      </w:pPr>
      <w:r>
        <w:t xml:space="preserve">Dans la suite, nous détaillons les dangers associés au produit</w:t>
      </w:r>
      <w:r>
        <w:t xml:space="preserve"> </w:t>
      </w:r>
      <w:r>
        <w:rPr>
          <w:b/>
          <w:bCs/>
        </w:rPr>
        <w:t xml:space="preserve">ethanol99dnaturvwr</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VWR International Ltd.</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liquide visqueux</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Pas disponible</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Utilisations identifiées pertinentes : réactif chimique général.</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2017-12-30</w:t>
            </w:r>
          </w:p>
        </w:tc>
      </w:tr>
    </w:tbl>
    <w:p>
      <w:pPr>
        <w:pStyle w:val="BodyText"/>
      </w:pPr>
      <w:r>
        <w:t xml:space="preserve"> </w:t>
      </w:r>
      <w:r>
        <w:t xml:space="preserve">La FDS date du 2017-12-30. Elle a donc 8 an(s).</w:t>
      </w:r>
    </w:p>
    <w:p>
      <w:pPr>
        <w:pStyle w:val="BodyText"/>
      </w:pPr>
      <w:r>
        <w:t xml:space="preserve">La FDS ayant plus de 5 ans, il est</w:t>
      </w:r>
      <w:r>
        <w:t xml:space="preserve"> </w:t>
      </w:r>
      <w:r>
        <w:rPr>
          <w:i/>
          <w:iCs/>
        </w:rPr>
        <w:t xml:space="preserve">nécessaire</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6"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Danger</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Inflammable" title="" id="31" name="Picture"/>
            <a:graphic>
              <a:graphicData uri="http://schemas.openxmlformats.org/drawingml/2006/picture">
                <pic:pic>
                  <pic:nvPicPr>
                    <pic:cNvPr descr="templates/SGH02.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Inflammable</w:t>
      </w:r>
    </w:p>
    <w:p>
      <w:pPr>
        <w:pStyle w:val="BodyText"/>
      </w:pPr>
      <w:r>
        <w:drawing>
          <wp:inline>
            <wp:extent cx="719999" cy="719999"/>
            <wp:effectExtent b="0" l="0" r="0" t="0"/>
            <wp:docPr descr="Nocif / Irritant" title="" id="34" name="Picture"/>
            <a:graphic>
              <a:graphicData uri="http://schemas.openxmlformats.org/drawingml/2006/picture">
                <pic:pic>
                  <pic:nvPicPr>
                    <pic:cNvPr descr="templates/SGH07.png" id="35" name="Picture"/>
                    <pic:cNvPicPr>
                      <a:picLocks noChangeArrowheads="1" noChangeAspect="1"/>
                    </pic:cNvPicPr>
                  </pic:nvPicPr>
                  <pic:blipFill>
                    <a:blip r:embed="rId33"/>
                    <a:stretch>
                      <a:fillRect/>
                    </a:stretch>
                  </pic:blipFill>
                  <pic:spPr bwMode="auto">
                    <a:xfrm>
                      <a:off x="0" y="0"/>
                      <a:ext cx="719999" cy="719999"/>
                    </a:xfrm>
                    <a:prstGeom prst="rect">
                      <a:avLst/>
                    </a:prstGeom>
                    <a:noFill/>
                    <a:ln w="9525">
                      <a:noFill/>
                      <a:headEnd/>
                      <a:tailEnd/>
                    </a:ln>
                  </pic:spPr>
                </pic:pic>
              </a:graphicData>
            </a:graphic>
          </wp:inline>
        </w:drawing>
      </w:r>
      <w:r>
        <w:t xml:space="preserve">Nocif / Irritant</w:t>
      </w:r>
    </w:p>
    <w:p>
      <w:pPr>
        <w:pStyle w:val="BodyText"/>
      </w:pPr>
      <w:r>
        <w:rPr>
          <w:b/>
          <w:bCs/>
        </w:rPr>
        <w:t xml:space="preserve">Mentions de danger</w:t>
      </w:r>
      <w:r>
        <w:t xml:space="preserve"> </w:t>
      </w:r>
      <w:r>
        <w:t xml:space="preserve">:</w:t>
      </w:r>
    </w:p>
    <w:p>
      <w:pPr>
        <w:numPr>
          <w:ilvl w:val="0"/>
          <w:numId w:val="1003"/>
        </w:numPr>
      </w:pPr>
      <w:r>
        <w:t xml:space="preserve">H225</w:t>
      </w:r>
      <w:r>
        <w:t xml:space="preserve"> </w:t>
      </w:r>
      <w:r>
        <w:t xml:space="preserve">Liquides et vapeurs très inflammables.</w:t>
      </w:r>
    </w:p>
    <w:p>
      <w:pPr>
        <w:numPr>
          <w:ilvl w:val="0"/>
          <w:numId w:val="1003"/>
        </w:numPr>
      </w:pPr>
      <w:r>
        <w:t xml:space="preserve">H319</w:t>
      </w:r>
      <w:r>
        <w:t xml:space="preserve"> </w:t>
      </w:r>
      <w:r>
        <w:t xml:space="preserve">Provoque une sévère irritation des yeux.</w:t>
      </w:r>
    </w:p>
    <w:p>
      <w:pPr>
        <w:pStyle w:val="FirstParagraph"/>
      </w:pPr>
      <w:r>
        <w:rPr>
          <w:b/>
          <w:bCs/>
        </w:rPr>
        <w:t xml:space="preserve">Conseils de prudence</w:t>
      </w:r>
      <w:r>
        <w:t xml:space="preserve"> </w:t>
      </w:r>
      <w:r>
        <w:t xml:space="preserve">:</w:t>
      </w:r>
    </w:p>
    <w:p>
      <w:pPr>
        <w:numPr>
          <w:ilvl w:val="0"/>
          <w:numId w:val="1004"/>
        </w:numPr>
      </w:pPr>
      <w:r>
        <w:t xml:space="preserve">P210</w:t>
      </w:r>
      <w:r>
        <w:t xml:space="preserve"> </w:t>
      </w:r>
      <w:r>
        <w:t xml:space="preserve">P210</w:t>
      </w:r>
    </w:p>
    <w:p>
      <w:pPr>
        <w:numPr>
          <w:ilvl w:val="0"/>
          <w:numId w:val="1004"/>
        </w:numPr>
      </w:pPr>
      <w:r>
        <w:t xml:space="preserve">P243</w:t>
      </w:r>
      <w:r>
        <w:t xml:space="preserve"> </w:t>
      </w:r>
      <w:r>
        <w:t xml:space="preserve">Prendre des mesures de précaution contre les décharges électrostatiques.</w:t>
      </w:r>
    </w:p>
    <w:p>
      <w:pPr>
        <w:numPr>
          <w:ilvl w:val="0"/>
          <w:numId w:val="1004"/>
        </w:numPr>
      </w:pPr>
      <w:r>
        <w:t xml:space="preserve">P280</w:t>
      </w:r>
      <w:r>
        <w:t xml:space="preserve"> </w:t>
      </w:r>
      <w:r>
        <w:t xml:space="preserve">Porter des gants de protection, des vêtements de protection, un équipement de protection des yeux et du visage.</w:t>
      </w:r>
    </w:p>
    <w:p>
      <w:pPr>
        <w:numPr>
          <w:ilvl w:val="0"/>
          <w:numId w:val="1004"/>
        </w:numPr>
      </w:pPr>
      <w:r>
        <w:t xml:space="preserve">P305+P351+P338</w:t>
      </w:r>
      <w:r>
        <w:t xml:space="preserve"> </w:t>
      </w:r>
      <w:r>
        <w:t xml:space="preserve">EN CAS DE CONTACT AVEC LES YEUX : rincer soigneusement à l’eau pendant plusieurs minutes. Enlever les lentilles de contact si la victime en porte et si elles peuvent être facilement retirées. Continuer à rincer.</w:t>
      </w:r>
    </w:p>
    <w:p>
      <w:pPr>
        <w:pStyle w:val="FirstParagraph"/>
      </w:pPr>
      <w:r>
        <w:rPr>
          <w:b/>
          <w:bCs/>
        </w:rPr>
        <w:t xml:space="preserve">Transport</w:t>
      </w:r>
      <w:r>
        <w:t xml:space="preserve"> </w:t>
      </w:r>
      <w:r>
        <w:t xml:space="preserve">:</w:t>
      </w:r>
    </w:p>
    <w:p>
      <w:pPr>
        <w:pStyle w:val="Compact"/>
        <w:numPr>
          <w:ilvl w:val="0"/>
          <w:numId w:val="1005"/>
        </w:numPr>
      </w:pPr>
      <w:r>
        <w:t xml:space="preserve">ADR : 3</w:t>
      </w:r>
    </w:p>
    <w:p>
      <w:pPr>
        <w:pStyle w:val="Compact"/>
        <w:numPr>
          <w:ilvl w:val="0"/>
          <w:numId w:val="1005"/>
        </w:numPr>
      </w:pPr>
      <w:r>
        <w:t xml:space="preserve">RID : 3</w:t>
      </w:r>
    </w:p>
    <w:p>
      <w:pPr>
        <w:pStyle w:val="Compact"/>
        <w:numPr>
          <w:ilvl w:val="0"/>
          <w:numId w:val="1005"/>
        </w:numPr>
      </w:pPr>
      <w:r>
        <w:t xml:space="preserve">ADN : n’est pas disponible</w:t>
      </w:r>
    </w:p>
    <w:p>
      <w:pPr>
        <w:pStyle w:val="Compact"/>
        <w:numPr>
          <w:ilvl w:val="0"/>
          <w:numId w:val="1005"/>
        </w:numPr>
      </w:pPr>
      <w:r>
        <w:t xml:space="preserve">IMDG : 3</w:t>
      </w:r>
    </w:p>
    <w:p>
      <w:pPr>
        <w:pStyle w:val="Compact"/>
        <w:numPr>
          <w:ilvl w:val="0"/>
          <w:numId w:val="1005"/>
        </w:numPr>
      </w:pPr>
      <w:r>
        <w:t xml:space="preserve">IATA : 3</w:t>
      </w:r>
    </w:p>
    <w:p>
      <w:pPr>
        <w:pStyle w:val="Compact"/>
        <w:numPr>
          <w:ilvl w:val="0"/>
          <w:numId w:val="1005"/>
        </w:numPr>
      </w:pPr>
      <w:r>
        <w:t xml:space="preserve">UN : 1170</w:t>
      </w:r>
    </w:p>
    <w:bookmarkEnd w:id="36"/>
    <w:bookmarkStart w:id="37" w:name="Xda6f178de632779b007ca26fa4959a763d2c7f4"/>
    <w:p>
      <w:pPr>
        <w:pStyle w:val="Heading2"/>
      </w:pPr>
      <w:r>
        <w:t xml:space="preserve">Dangers et/ou mesures par voie d’exposition</w:t>
      </w:r>
    </w:p>
    <w:p>
      <w:pPr>
        <w:pStyle w:val="FirstParagraph"/>
      </w:pPr>
      <w:r>
        <w:t xml:space="preserve">peau : Lavez la zone touchée immédiatement à l’eau et au savon en abondance.</w:t>
      </w:r>
      <w:r>
        <w:t xml:space="preserve"> </w:t>
      </w:r>
      <w:r>
        <w:t xml:space="preserve">Enlevez les vêtements contaminés et saturés immédiatement.</w:t>
      </w:r>
      <w:r>
        <w:t xml:space="preserve"> </w:t>
      </w:r>
      <w:r>
        <w:t xml:space="preserve">Si des réactions cutanées surviennent, consultez un médecin.</w:t>
      </w:r>
    </w:p>
    <w:p>
      <w:pPr>
        <w:pStyle w:val="BodyText"/>
      </w:pPr>
      <w:r>
        <w:t xml:space="preserve">yeux : Rincez immédiatement l’œil à grande eau pendant 10 à 15 minutes en maintenant les paupières écartées.</w:t>
      </w:r>
      <w:r>
        <w:t xml:space="preserve"> </w:t>
      </w:r>
      <w:r>
        <w:t xml:space="preserve">Retirez les lentilles de contact si elles sont présentes et faciles à retirer.</w:t>
      </w:r>
      <w:r>
        <w:t xml:space="preserve"> </w:t>
      </w:r>
      <w:r>
        <w:t xml:space="preserve">Continuez à rincer.</w:t>
      </w:r>
      <w:r>
        <w:t xml:space="preserve"> </w:t>
      </w:r>
      <w:r>
        <w:t xml:space="preserve">Consultez un ophtalmologiste et protégez l’œil non blessé.</w:t>
      </w:r>
    </w:p>
    <w:p>
      <w:pPr>
        <w:pStyle w:val="BodyText"/>
      </w:pPr>
      <w:r>
        <w:t xml:space="preserve">ingestion : Si la personne est consciente, rincez-lui la bouche abondamment à l’eau.</w:t>
      </w:r>
      <w:r>
        <w:t xml:space="preserve"> </w:t>
      </w:r>
      <w:r>
        <w:t xml:space="preserve">Ne provoquez pas de vomissements.</w:t>
      </w:r>
      <w:r>
        <w:t xml:space="preserve"> </w:t>
      </w:r>
      <w:r>
        <w:t xml:space="preserve">Ne lui donnez rien à manger ni à boire.</w:t>
      </w:r>
      <w:r>
        <w:t xml:space="preserve"> </w:t>
      </w:r>
      <w:r>
        <w:t xml:space="preserve">Cherchez immédiatement une assistance médicale.</w:t>
      </w:r>
    </w:p>
    <w:p>
      <w:pPr>
        <w:pStyle w:val="BodyText"/>
      </w:pPr>
      <w:r>
        <w:t xml:space="preserve">inhalation : Appelez un CENTRE ANTI-POISON ou un médecin.</w:t>
      </w:r>
      <w:r>
        <w:t xml:space="preserve"> </w:t>
      </w:r>
      <w:r>
        <w:t xml:space="preserve">Déplacez la victime à l’air frais.</w:t>
      </w:r>
      <w:r>
        <w:t xml:space="preserve"> </w:t>
      </w:r>
      <w:r>
        <w:t xml:space="preserve">Gardez la personne au chaud et au repos.</w:t>
      </w:r>
      <w:r>
        <w:t xml:space="preserve"> </w:t>
      </w:r>
      <w:r>
        <w:t xml:space="preserve">Si la respiration est irrégulière ou arrêtée, pratiquez la respiration artificielle.</w:t>
      </w:r>
    </w:p>
    <w:p>
      <w:r>
        <w:br w:type="page"/>
      </w:r>
    </w:p>
    <w:bookmarkEnd w:id="37"/>
    <w:bookmarkStart w:id="71" w:name="Xd3fd47f9279b52cc9d4b00e07bdfde0bea6594f"/>
    <w:p>
      <w:pPr>
        <w:pStyle w:val="Heading2"/>
      </w:pPr>
      <w:r>
        <w:t xml:space="preserve">Informations relatives aux substances dangereuses présentes</w:t>
      </w:r>
    </w:p>
    <w:bookmarkStart w:id="48" w:name="ethanol-absolute"/>
    <w:p>
      <w:pPr>
        <w:pStyle w:val="Heading3"/>
      </w:pPr>
      <w:r>
        <w:t xml:space="preserve">Ethanol absolute</w:t>
      </w:r>
    </w:p>
    <w:p>
      <w:pPr>
        <w:pStyle w:val="FirstParagraph"/>
      </w:pPr>
      <w:r>
        <w:rPr>
          <w:b/>
          <w:bCs/>
        </w:rPr>
        <w:t xml:space="preserve">Identification</w:t>
      </w:r>
    </w:p>
    <w:p>
      <w:pPr>
        <w:pStyle w:val="Compact"/>
        <w:numPr>
          <w:ilvl w:val="0"/>
          <w:numId w:val="1006"/>
        </w:numPr>
      </w:pPr>
      <w:r>
        <w:t xml:space="preserve">N° CAS : 64-17-5</w:t>
      </w:r>
    </w:p>
    <w:p>
      <w:pPr>
        <w:pStyle w:val="Compact"/>
        <w:numPr>
          <w:ilvl w:val="0"/>
          <w:numId w:val="1006"/>
        </w:numPr>
      </w:pPr>
      <w:r>
        <w:t xml:space="preserve">N° EINECS : 200-578-6</w:t>
      </w:r>
    </w:p>
    <w:p>
      <w:pPr>
        <w:pStyle w:val="FirstParagraph"/>
      </w:pPr>
      <w:r>
        <w:rPr>
          <w:b/>
          <w:bCs/>
        </w:rPr>
        <w:t xml:space="preserve">Concentration</w:t>
      </w:r>
      <w:r>
        <w:t xml:space="preserve"> </w:t>
      </w:r>
      <w:r>
        <w:t xml:space="preserve">:supérieur ou égal à 90,0</w:t>
      </w:r>
    </w:p>
    <w:p>
      <w:pPr>
        <w:pStyle w:val="BodyText"/>
      </w:pPr>
      <w:r>
        <w:rPr>
          <w:b/>
          <w:bCs/>
        </w:rPr>
        <w:t xml:space="preserve">Dangers</w:t>
      </w:r>
      <w:r>
        <w:t xml:space="preserve"> </w:t>
      </w:r>
      <w:r>
        <w:t xml:space="preserve">:</w:t>
      </w:r>
    </w:p>
    <w:p>
      <w:pPr>
        <w:numPr>
          <w:ilvl w:val="0"/>
          <w:numId w:val="1007"/>
        </w:numPr>
      </w:pPr>
      <w:r>
        <w:t xml:space="preserve">H225</w:t>
      </w:r>
      <w:r>
        <w:t xml:space="preserve"> </w:t>
      </w:r>
      <w:r>
        <w:t xml:space="preserve">Liquides et vapeurs très inflammables.</w:t>
      </w:r>
    </w:p>
    <w:p>
      <w:pPr>
        <w:numPr>
          <w:ilvl w:val="0"/>
          <w:numId w:val="1007"/>
        </w:numPr>
      </w:pPr>
      <w:r>
        <w:t xml:space="preserve">H319</w:t>
      </w:r>
      <w:r>
        <w:t xml:space="preserve"> </w:t>
      </w:r>
      <w:r>
        <w:t xml:space="preserve">Provoque une sévère irritation des yeux.</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1000.0 - VLE-8h (mg/m³) : 1907.0</w:t>
            </w:r>
          </w:p>
        </w:tc>
      </w:tr>
    </w:tbl>
    <w:bookmarkStart w:id="47" w:name="propriétés"/>
    <w:p>
      <w:pPr>
        <w:pStyle w:val="Heading4"/>
      </w:pPr>
      <w:r>
        <w:t xml:space="preserve">Propriétés</w:t>
      </w:r>
    </w:p>
    <w:p>
      <w:pPr>
        <w:pStyle w:val="FirstParagraph"/>
      </w:pPr>
      <w:hyperlink r:id="rId38">
        <w:r>
          <w:rPr>
            <w:rStyle w:val="Hyperlink"/>
            <w:color w:val="0856A0"/>
            <w:u w:val="single"/>
          </w:rPr>
          <w:t xml:space="preserve">FICHENovembre 2019Fiche n°48 - ÉthanolFiche présentant l’essentiel des données d’hygiène et de sécurité relatives à« Éthanol »avec un rappel de la réglementation française et des recommandations techniques et médicales.En savoir plus</w:t>
        </w:r>
      </w:hyperlink>
    </w:p>
    <w:p>
      <w:pPr>
        <w:numPr>
          <w:ilvl w:val="0"/>
          <w:numId w:val="1008"/>
        </w:numPr>
      </w:pPr>
      <w:hyperlink r:id="rId39">
        <w:r>
          <w:rPr>
            <w:rStyle w:val="Hyperlink"/>
            <w:color w:val="0856A0"/>
            <w:u w:val="single"/>
          </w:rPr>
          <w:t xml:space="preserve">Généralités</w:t>
        </w:r>
      </w:hyperlink>
    </w:p>
    <w:p>
      <w:pPr>
        <w:numPr>
          <w:ilvl w:val="0"/>
          <w:numId w:val="1008"/>
        </w:numPr>
      </w:pPr>
      <w:hyperlink r:id="rId40">
        <w:r>
          <w:rPr>
            <w:rStyle w:val="Hyperlink"/>
            <w:color w:val="0856A0"/>
            <w:u w:val="single"/>
          </w:rPr>
          <w:t xml:space="preserve">Caractéristiques</w:t>
        </w:r>
      </w:hyperlink>
    </w:p>
    <w:p>
      <w:pPr>
        <w:numPr>
          <w:ilvl w:val="0"/>
          <w:numId w:val="1008"/>
        </w:numPr>
      </w:pPr>
      <w:hyperlink r:id="rId41">
        <w:r>
          <w:rPr>
            <w:rStyle w:val="Hyperlink"/>
            <w:color w:val="0856A0"/>
            <w:u w:val="single"/>
          </w:rPr>
          <w:t xml:space="preserve">VLEPMesurage</w:t>
        </w:r>
      </w:hyperlink>
    </w:p>
    <w:p>
      <w:pPr>
        <w:numPr>
          <w:ilvl w:val="0"/>
          <w:numId w:val="1008"/>
        </w:numPr>
      </w:pPr>
      <w:hyperlink r:id="rId42">
        <w:r>
          <w:rPr>
            <w:rStyle w:val="Hyperlink"/>
            <w:color w:val="0856A0"/>
            <w:u w:val="single"/>
          </w:rPr>
          <w:t xml:space="preserve">Incendie - Explosion[2, 9, 17-19]</w:t>
        </w:r>
      </w:hyperlink>
    </w:p>
    <w:p>
      <w:pPr>
        <w:numPr>
          <w:ilvl w:val="0"/>
          <w:numId w:val="1008"/>
        </w:numPr>
      </w:pPr>
      <w:hyperlink r:id="rId43">
        <w:r>
          <w:rPr>
            <w:rStyle w:val="Hyperlink"/>
            <w:color w:val="0856A0"/>
            <w:u w:val="single"/>
          </w:rPr>
          <w:t xml:space="preserve">Pathologie - Toxicologie</w:t>
        </w:r>
      </w:hyperlink>
    </w:p>
    <w:p>
      <w:pPr>
        <w:numPr>
          <w:ilvl w:val="0"/>
          <w:numId w:val="1008"/>
        </w:numPr>
      </w:pPr>
      <w:hyperlink r:id="rId44">
        <w:r>
          <w:rPr>
            <w:rStyle w:val="Hyperlink"/>
            <w:color w:val="0856A0"/>
            <w:u w:val="single"/>
          </w:rPr>
          <w:t xml:space="preserve">Règlementation</w:t>
        </w:r>
      </w:hyperlink>
    </w:p>
    <w:p>
      <w:pPr>
        <w:numPr>
          <w:ilvl w:val="0"/>
          <w:numId w:val="1008"/>
        </w:numPr>
      </w:pPr>
      <w:hyperlink r:id="rId45">
        <w:r>
          <w:rPr>
            <w:rStyle w:val="Hyperlink"/>
            <w:color w:val="0856A0"/>
            <w:u w:val="single"/>
          </w:rPr>
          <w:t xml:space="preserve">Recommandations</w:t>
        </w:r>
      </w:hyperlink>
    </w:p>
    <w:p>
      <w:pPr>
        <w:numPr>
          <w:ilvl w:val="0"/>
          <w:numId w:val="1008"/>
        </w:numPr>
      </w:pPr>
      <w:hyperlink r:id="rId46">
        <w:r>
          <w:rPr>
            <w:rStyle w:val="Hyperlink"/>
            <w:color w:val="0856A0"/>
            <w:u w:val="single"/>
          </w:rPr>
          <w:t xml:space="preserve">Bibliographie</w:t>
        </w:r>
      </w:hyperlink>
    </w:p>
    <w:bookmarkEnd w:id="47"/>
    <w:bookmarkEnd w:id="48"/>
    <w:bookmarkStart w:id="59" w:name="propanol"/>
    <w:p>
      <w:pPr>
        <w:pStyle w:val="Heading3"/>
      </w:pPr>
      <w:r>
        <w:t xml:space="preserve">2-Propanol</w:t>
      </w:r>
    </w:p>
    <w:p>
      <w:pPr>
        <w:pStyle w:val="FirstParagraph"/>
      </w:pPr>
      <w:r>
        <w:rPr>
          <w:b/>
          <w:bCs/>
        </w:rPr>
        <w:t xml:space="preserve">Identification</w:t>
      </w:r>
    </w:p>
    <w:p>
      <w:pPr>
        <w:pStyle w:val="Compact"/>
        <w:numPr>
          <w:ilvl w:val="0"/>
          <w:numId w:val="1009"/>
        </w:numPr>
      </w:pPr>
      <w:r>
        <w:t xml:space="preserve">N° CAS : 67-63-0</w:t>
      </w:r>
    </w:p>
    <w:p>
      <w:pPr>
        <w:pStyle w:val="Compact"/>
        <w:numPr>
          <w:ilvl w:val="0"/>
          <w:numId w:val="1009"/>
        </w:numPr>
      </w:pPr>
      <w:r>
        <w:t xml:space="preserve">N° EINECS : 200-661-7</w:t>
      </w:r>
    </w:p>
    <w:p>
      <w:pPr>
        <w:pStyle w:val="FirstParagraph"/>
      </w:pPr>
      <w:r>
        <w:rPr>
          <w:b/>
          <w:bCs/>
        </w:rPr>
        <w:t xml:space="preserve">Concentration</w:t>
      </w:r>
      <w:r>
        <w:t xml:space="preserve"> </w:t>
      </w:r>
      <w:r>
        <w:t xml:space="preserve">:de 0,5 à 2,0</w:t>
      </w:r>
    </w:p>
    <w:p>
      <w:pPr>
        <w:pStyle w:val="BodyText"/>
      </w:pPr>
      <w:r>
        <w:rPr>
          <w:b/>
          <w:bCs/>
        </w:rPr>
        <w:t xml:space="preserve">Dangers</w:t>
      </w:r>
      <w:r>
        <w:t xml:space="preserve"> </w:t>
      </w:r>
      <w:r>
        <w:t xml:space="preserve">:</w:t>
      </w:r>
    </w:p>
    <w:p>
      <w:pPr>
        <w:numPr>
          <w:ilvl w:val="0"/>
          <w:numId w:val="1010"/>
        </w:numPr>
      </w:pPr>
      <w:r>
        <w:t xml:space="preserve">H225</w:t>
      </w:r>
      <w:r>
        <w:t xml:space="preserve"> </w:t>
      </w:r>
      <w:r>
        <w:t xml:space="preserve">Liquides et vapeurs très inflammables.</w:t>
      </w:r>
    </w:p>
    <w:p>
      <w:pPr>
        <w:numPr>
          <w:ilvl w:val="0"/>
          <w:numId w:val="1010"/>
        </w:numPr>
      </w:pPr>
      <w:r>
        <w:t xml:space="preserve">H319</w:t>
      </w:r>
      <w:r>
        <w:t xml:space="preserve"> </w:t>
      </w:r>
      <w:r>
        <w:t xml:space="preserve">Provoque une sévère irritation des yeux.</w:t>
      </w:r>
    </w:p>
    <w:p>
      <w:pPr>
        <w:numPr>
          <w:ilvl w:val="0"/>
          <w:numId w:val="1010"/>
        </w:numPr>
      </w:pPr>
      <w:r>
        <w:t xml:space="preserve">H336</w:t>
      </w:r>
      <w:r>
        <w:t xml:space="preserve"> </w:t>
      </w:r>
      <w:r>
        <w:t xml:space="preserve">Peut provoquer somnolence ou vertiges.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200.0 - VLE-8h (mg/m³) : 500.0 - VLE-15min (ppm) : 400.0 - VLE-15min (mg/m³) : 1000.0</w:t>
            </w:r>
          </w:p>
        </w:tc>
      </w:tr>
    </w:tbl>
    <w:bookmarkStart w:id="58" w:name="propriétés-1"/>
    <w:p>
      <w:pPr>
        <w:pStyle w:val="Heading4"/>
      </w:pPr>
      <w:r>
        <w:t xml:space="preserve">Propriétés</w:t>
      </w:r>
    </w:p>
    <w:p>
      <w:pPr>
        <w:pStyle w:val="FirstParagraph"/>
      </w:pPr>
      <w:hyperlink r:id="rId49">
        <w:r>
          <w:rPr>
            <w:rStyle w:val="Hyperlink"/>
            <w:color w:val="0856A0"/>
            <w:u w:val="single"/>
          </w:rPr>
          <w:t xml:space="preserve">FICHEJanvier 2021Fiche n°66 - Propan-2-olFiche présentant l’essentiel des données d’hygiène et de sécurité relatives à« Propan-2-ol »avec un rappel de la réglementation française et des recommandations techniques et médicales.En savoir plus</w:t>
        </w:r>
      </w:hyperlink>
    </w:p>
    <w:p>
      <w:pPr>
        <w:numPr>
          <w:ilvl w:val="0"/>
          <w:numId w:val="1011"/>
        </w:numPr>
      </w:pPr>
      <w:hyperlink r:id="rId50">
        <w:r>
          <w:rPr>
            <w:rStyle w:val="Hyperlink"/>
            <w:color w:val="0856A0"/>
            <w:u w:val="single"/>
          </w:rPr>
          <w:t xml:space="preserve">Généralités</w:t>
        </w:r>
      </w:hyperlink>
    </w:p>
    <w:p>
      <w:pPr>
        <w:numPr>
          <w:ilvl w:val="0"/>
          <w:numId w:val="1011"/>
        </w:numPr>
      </w:pPr>
      <w:hyperlink r:id="rId51">
        <w:r>
          <w:rPr>
            <w:rStyle w:val="Hyperlink"/>
            <w:color w:val="0856A0"/>
            <w:u w:val="single"/>
          </w:rPr>
          <w:t xml:space="preserve">Caractéristiques</w:t>
        </w:r>
      </w:hyperlink>
    </w:p>
    <w:p>
      <w:pPr>
        <w:numPr>
          <w:ilvl w:val="0"/>
          <w:numId w:val="1011"/>
        </w:numPr>
      </w:pPr>
      <w:hyperlink r:id="rId52">
        <w:r>
          <w:rPr>
            <w:rStyle w:val="Hyperlink"/>
            <w:color w:val="0856A0"/>
            <w:u w:val="single"/>
          </w:rPr>
          <w:t xml:space="preserve">VLEPMesurage</w:t>
        </w:r>
      </w:hyperlink>
    </w:p>
    <w:p>
      <w:pPr>
        <w:numPr>
          <w:ilvl w:val="0"/>
          <w:numId w:val="1011"/>
        </w:numPr>
      </w:pPr>
      <w:hyperlink r:id="rId53">
        <w:r>
          <w:rPr>
            <w:rStyle w:val="Hyperlink"/>
            <w:color w:val="0856A0"/>
            <w:u w:val="single"/>
          </w:rPr>
          <w:t xml:space="preserve">Incendie - Explosion[16-18]</w:t>
        </w:r>
      </w:hyperlink>
    </w:p>
    <w:p>
      <w:pPr>
        <w:numPr>
          <w:ilvl w:val="0"/>
          <w:numId w:val="1011"/>
        </w:numPr>
      </w:pPr>
      <w:hyperlink r:id="rId54">
        <w:r>
          <w:rPr>
            <w:rStyle w:val="Hyperlink"/>
            <w:color w:val="0856A0"/>
            <w:u w:val="single"/>
          </w:rPr>
          <w:t xml:space="preserve">Pathologie - Toxicologie</w:t>
        </w:r>
      </w:hyperlink>
    </w:p>
    <w:p>
      <w:pPr>
        <w:numPr>
          <w:ilvl w:val="0"/>
          <w:numId w:val="1011"/>
        </w:numPr>
      </w:pPr>
      <w:hyperlink r:id="rId55">
        <w:r>
          <w:rPr>
            <w:rStyle w:val="Hyperlink"/>
            <w:color w:val="0856A0"/>
            <w:u w:val="single"/>
          </w:rPr>
          <w:t xml:space="preserve">Règlementation</w:t>
        </w:r>
      </w:hyperlink>
    </w:p>
    <w:p>
      <w:pPr>
        <w:numPr>
          <w:ilvl w:val="0"/>
          <w:numId w:val="1011"/>
        </w:numPr>
      </w:pPr>
      <w:hyperlink r:id="rId56">
        <w:r>
          <w:rPr>
            <w:rStyle w:val="Hyperlink"/>
            <w:color w:val="0856A0"/>
            <w:u w:val="single"/>
          </w:rPr>
          <w:t xml:space="preserve">Recommandations</w:t>
        </w:r>
      </w:hyperlink>
    </w:p>
    <w:p>
      <w:pPr>
        <w:numPr>
          <w:ilvl w:val="0"/>
          <w:numId w:val="1011"/>
        </w:numPr>
      </w:pPr>
      <w:hyperlink r:id="rId57">
        <w:r>
          <w:rPr>
            <w:rStyle w:val="Hyperlink"/>
            <w:color w:val="0856A0"/>
            <w:u w:val="single"/>
          </w:rPr>
          <w:t xml:space="preserve">Bibliographie</w:t>
        </w:r>
      </w:hyperlink>
    </w:p>
    <w:bookmarkEnd w:id="58"/>
    <w:bookmarkEnd w:id="59"/>
    <w:bookmarkStart w:id="70" w:name="methyl-ethyl-ketone"/>
    <w:p>
      <w:pPr>
        <w:pStyle w:val="Heading3"/>
      </w:pPr>
      <w:r>
        <w:t xml:space="preserve">Methyl ethyl ketone</w:t>
      </w:r>
    </w:p>
    <w:p>
      <w:pPr>
        <w:pStyle w:val="FirstParagraph"/>
      </w:pPr>
      <w:r>
        <w:rPr>
          <w:b/>
          <w:bCs/>
        </w:rPr>
        <w:t xml:space="preserve">Identification</w:t>
      </w:r>
    </w:p>
    <w:p>
      <w:pPr>
        <w:pStyle w:val="Compact"/>
        <w:numPr>
          <w:ilvl w:val="0"/>
          <w:numId w:val="1012"/>
        </w:numPr>
      </w:pPr>
      <w:r>
        <w:t xml:space="preserve">N° CAS : 78-93-3</w:t>
      </w:r>
    </w:p>
    <w:p>
      <w:pPr>
        <w:pStyle w:val="Compact"/>
        <w:numPr>
          <w:ilvl w:val="0"/>
          <w:numId w:val="1012"/>
        </w:numPr>
      </w:pPr>
      <w:r>
        <w:t xml:space="preserve">N° EINECS : 201-159-0</w:t>
      </w:r>
    </w:p>
    <w:p>
      <w:pPr>
        <w:pStyle w:val="FirstParagraph"/>
      </w:pPr>
      <w:r>
        <w:rPr>
          <w:b/>
          <w:bCs/>
        </w:rPr>
        <w:t xml:space="preserve">Concentration</w:t>
      </w:r>
      <w:r>
        <w:t xml:space="preserve"> </w:t>
      </w:r>
      <w:r>
        <w:t xml:space="preserve">:de 0,5 à 2,0</w:t>
      </w:r>
    </w:p>
    <w:p>
      <w:pPr>
        <w:pStyle w:val="BodyText"/>
      </w:pPr>
      <w:r>
        <w:rPr>
          <w:b/>
          <w:bCs/>
        </w:rPr>
        <w:t xml:space="preserve">Dangers</w:t>
      </w:r>
      <w:r>
        <w:t xml:space="preserve"> </w:t>
      </w:r>
      <w:r>
        <w:t xml:space="preserve">:</w:t>
      </w:r>
    </w:p>
    <w:p>
      <w:pPr>
        <w:numPr>
          <w:ilvl w:val="0"/>
          <w:numId w:val="1013"/>
        </w:numPr>
      </w:pPr>
      <w:r>
        <w:t xml:space="preserve">H225</w:t>
      </w:r>
      <w:r>
        <w:t xml:space="preserve"> </w:t>
      </w:r>
      <w:r>
        <w:t xml:space="preserve">Liquides et vapeurs très inflammables.</w:t>
      </w:r>
    </w:p>
    <w:p>
      <w:pPr>
        <w:numPr>
          <w:ilvl w:val="0"/>
          <w:numId w:val="1013"/>
        </w:numPr>
      </w:pPr>
      <w:r>
        <w:t xml:space="preserve">H319</w:t>
      </w:r>
      <w:r>
        <w:t xml:space="preserve"> </w:t>
      </w:r>
      <w:r>
        <w:t xml:space="preserve">Provoque une sévère irritation des yeux.</w:t>
      </w:r>
    </w:p>
    <w:p>
      <w:pPr>
        <w:numPr>
          <w:ilvl w:val="0"/>
          <w:numId w:val="1013"/>
        </w:numPr>
      </w:pPr>
      <w:r>
        <w:t xml:space="preserve">H336</w:t>
      </w:r>
      <w:r>
        <w:t xml:space="preserve"> </w:t>
      </w:r>
      <w:r>
        <w:t xml:space="preserve">Peut provoquer somnolence ou vertiges.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200.0 - VLE-8h (mg/m³) : 600.0 - VLE-15min (ppm) : 300.0 - VLE-15min (mg/m³) : 900.0</w:t>
            </w:r>
          </w:p>
        </w:tc>
      </w:tr>
    </w:tbl>
    <w:bookmarkStart w:id="69" w:name="propriétés-2"/>
    <w:p>
      <w:pPr>
        <w:pStyle w:val="Heading4"/>
      </w:pPr>
      <w:r>
        <w:t xml:space="preserve">Propriétés</w:t>
      </w:r>
    </w:p>
    <w:p>
      <w:pPr>
        <w:pStyle w:val="FirstParagraph"/>
      </w:pPr>
      <w:hyperlink r:id="rId60">
        <w:r>
          <w:rPr>
            <w:rStyle w:val="Hyperlink"/>
            <w:color w:val="0856A0"/>
            <w:u w:val="single"/>
          </w:rPr>
          <w:t xml:space="preserve">FICHE2020Fiche n°14 - Butanone ou MéthyléthylcétoneFiche présentant l’essentiel des données d’hygiène et de sécurité relatives à« Butanone ou Méthyléthylcétone »avec un rappel de la réglementation française et des recommandations techniques et médicales.En savoir plus</w:t>
        </w:r>
      </w:hyperlink>
    </w:p>
    <w:p>
      <w:pPr>
        <w:numPr>
          <w:ilvl w:val="0"/>
          <w:numId w:val="1014"/>
        </w:numPr>
      </w:pPr>
      <w:hyperlink r:id="rId61">
        <w:r>
          <w:rPr>
            <w:rStyle w:val="Hyperlink"/>
            <w:color w:val="0856A0"/>
            <w:u w:val="single"/>
          </w:rPr>
          <w:t xml:space="preserve">Généralités</w:t>
        </w:r>
      </w:hyperlink>
    </w:p>
    <w:p>
      <w:pPr>
        <w:numPr>
          <w:ilvl w:val="0"/>
          <w:numId w:val="1014"/>
        </w:numPr>
      </w:pPr>
      <w:hyperlink r:id="rId62">
        <w:r>
          <w:rPr>
            <w:rStyle w:val="Hyperlink"/>
            <w:color w:val="0856A0"/>
            <w:u w:val="single"/>
          </w:rPr>
          <w:t xml:space="preserve">Caractéristiques</w:t>
        </w:r>
      </w:hyperlink>
    </w:p>
    <w:p>
      <w:pPr>
        <w:numPr>
          <w:ilvl w:val="0"/>
          <w:numId w:val="1014"/>
        </w:numPr>
      </w:pPr>
      <w:hyperlink r:id="rId63">
        <w:r>
          <w:rPr>
            <w:rStyle w:val="Hyperlink"/>
            <w:color w:val="0856A0"/>
            <w:u w:val="single"/>
          </w:rPr>
          <w:t xml:space="preserve">VLEPMesurage</w:t>
        </w:r>
      </w:hyperlink>
    </w:p>
    <w:p>
      <w:pPr>
        <w:numPr>
          <w:ilvl w:val="0"/>
          <w:numId w:val="1014"/>
        </w:numPr>
      </w:pPr>
      <w:hyperlink r:id="rId64">
        <w:r>
          <w:rPr>
            <w:rStyle w:val="Hyperlink"/>
            <w:color w:val="0856A0"/>
            <w:u w:val="single"/>
          </w:rPr>
          <w:t xml:space="preserve">Incendie - Explosion[5, 6, 9, 10, 21-23]</w:t>
        </w:r>
      </w:hyperlink>
    </w:p>
    <w:p>
      <w:pPr>
        <w:numPr>
          <w:ilvl w:val="0"/>
          <w:numId w:val="1014"/>
        </w:numPr>
      </w:pPr>
      <w:hyperlink r:id="rId65">
        <w:r>
          <w:rPr>
            <w:rStyle w:val="Hyperlink"/>
            <w:color w:val="0856A0"/>
            <w:u w:val="single"/>
          </w:rPr>
          <w:t xml:space="preserve">Pathologie - Toxicologie</w:t>
        </w:r>
      </w:hyperlink>
    </w:p>
    <w:p>
      <w:pPr>
        <w:numPr>
          <w:ilvl w:val="0"/>
          <w:numId w:val="1014"/>
        </w:numPr>
      </w:pPr>
      <w:hyperlink r:id="rId66">
        <w:r>
          <w:rPr>
            <w:rStyle w:val="Hyperlink"/>
            <w:color w:val="0856A0"/>
            <w:u w:val="single"/>
          </w:rPr>
          <w:t xml:space="preserve">Règlementation</w:t>
        </w:r>
      </w:hyperlink>
    </w:p>
    <w:p>
      <w:pPr>
        <w:numPr>
          <w:ilvl w:val="0"/>
          <w:numId w:val="1014"/>
        </w:numPr>
      </w:pPr>
      <w:hyperlink r:id="rId67">
        <w:r>
          <w:rPr>
            <w:rStyle w:val="Hyperlink"/>
            <w:color w:val="0856A0"/>
            <w:u w:val="single"/>
          </w:rPr>
          <w:t xml:space="preserve">Recommandations</w:t>
        </w:r>
      </w:hyperlink>
    </w:p>
    <w:p>
      <w:pPr>
        <w:numPr>
          <w:ilvl w:val="0"/>
          <w:numId w:val="1014"/>
        </w:numPr>
      </w:pPr>
      <w:hyperlink r:id="rId68">
        <w:r>
          <w:rPr>
            <w:rStyle w:val="Hyperlink"/>
            <w:color w:val="0856A0"/>
            <w:u w:val="single"/>
          </w:rPr>
          <w:t xml:space="preserve">Bibliographie</w:t>
        </w:r>
      </w:hyperlink>
    </w:p>
    <w:bookmarkEnd w:id="69"/>
    <w:bookmarkEnd w:id="70"/>
    <w:bookmarkEnd w:id="71"/>
    <w:bookmarkStart w:id="72"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 contact manuel à court terme : Matériau : caoutchouc nitrile (NBR), Épaisseur : non spécifiée, Temps de percée (temps de port maximal) : 240-480 min. Produit recommandé : VWR 112-3717 / VWR 112-1381. Gants – contact manuel à long terme : Matériau : caoutchouc nitrile (NBR), Épaisseur : 0,425 mm, Temps de percée (temps de port maximal) : &gt; 480 min. Produit recommandé : VWR 112-0971.</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Protection des yeux/du visage : Lunettes avec protection latérale, Normes DIN‑/EN : DIN EN 166. Produit recommandé : VWR 111-0432.</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Gants – contact manuel de courte durée : Matériau : caoutchouc nitrile (NBR), Épaisseur : non spécifiée, Temps de percée (temps de port maximal) : 240-480 min. Produit recommandé : VWR 112-3717 / VWR 112-1381. Gants – contact manuel de longue durée : Matériau : caoutchouc nitrile (NBR), Épaisseur : 0,425 mm, Temps de percée (temps de port maximal) : &gt; 480 min. Produit recommandé : VWR 112-0971.</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Protection respiratoire : Type : Masques faciaux complets, demi-masques ou masques quart de visage, Normes DIN/EN : DIN EN 136/140. Matière : ABEK2P3. Produits recommandés : VWR 111-0206 (masque) / VWR 111-0059 (filtre).</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Vêtements de protection : vêtements de protection portant l’étiquette CE, y compris les quatre chiffres de contrôle (aucune matière ou épaisseur spécifique n’est indiquée). Produit recommandé : -</w:t>
            </w:r>
          </w:p>
        </w:tc>
      </w:tr>
    </w:tbl>
    <w:bookmarkEnd w:id="72"/>
    <w:bookmarkStart w:id="73"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Tous les processus de travail doivent être conçus de manière à ce que l’exposition par inhalation, le contact cutané et le contact oculaire soit maintenue aussi basse que possible. Utilisez une hotte aspirante (laboratoire). Si la substance est manipulée à découvert, prévoyez une ventilation locale par aspiration. Si la ventilation locale par aspiration n’est pas possible ou insuffisante, toute la zone de travail doit être ventilée par des moyens techniques.</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 Gardez le récipient bien fermé. - Conserver dans un endroit bien ventilé. - Ne conserver que dans l’emballage d’origine.</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Utilisations identifiées pertinentes : réactif chimique général.</w:t>
            </w:r>
          </w:p>
        </w:tc>
      </w:tr>
    </w:tbl>
    <w:bookmarkEnd w:id="73"/>
    <w:bookmarkEnd w:id="74"/>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5D4391"/>
    <w:rsid w:val="006148BD"/>
    <w:rsid w:val="00666DED"/>
    <w:rsid w:val="008165A3"/>
    <w:rsid w:val="00860E1D"/>
    <w:rsid w:val="008662B7"/>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Hyperlink" w:type="character">
    <w:name w:val="Hyperlink"/>
    <w:basedOn w:val="DefaultParagraphFont"/>
    <w:uiPriority w:val="99"/>
    <w:unhideWhenUsed/>
    <w:rsid w:val="008662B7"/>
    <w:rPr>
      <w:color w:themeColor="hyperlink" w:val="467886"/>
      <w:u w:val="single"/>
    </w:rPr>
  </w:style>
  <w:style w:styleId="UnresolvedMention" w:type="character">
    <w:name w:val="Unresolved Mention"/>
    <w:basedOn w:val="DefaultParagraphFont"/>
    <w:uiPriority w:val="99"/>
    <w:semiHidden/>
    <w:unhideWhenUsed/>
    <w:rsid w:val="008662B7"/>
    <w:rPr>
      <w:color w:val="605E5C"/>
      <w:shd w:color="auto" w:fill="E1DFDD" w:val="cle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33" Type="http://schemas.openxmlformats.org/officeDocument/2006/relationships/image" Target="media/rId33.png"/><Relationship Id="rId23" Type="http://schemas.openxmlformats.org/officeDocument/2006/relationships/image" Target="media/rId23.png"/><Relationship Id="rId20" Type="http://schemas.openxmlformats.org/officeDocument/2006/relationships/image" Target="media/rId20.png"/><Relationship Id="rId60" Type="http://schemas.openxmlformats.org/officeDocument/2006/relationships/hyperlink" Target="https://www.inrs.fr/accueil/publications/bdd/fichetox/fiche.html?refINRS=FICHETOX_14" TargetMode="External"/><Relationship Id="rId63" Type="http://schemas.openxmlformats.org/officeDocument/2006/relationships/hyperlink" Target="https://www.inrs.fr/accueil/publications/bdd/fichetox/fiche.html?refINRS=FICHETOX_14&amp;section=VLEPMesurage" TargetMode="External"/><Relationship Id="rId68" Type="http://schemas.openxmlformats.org/officeDocument/2006/relationships/hyperlink" Target="https://www.inrs.fr/accueil/publications/bdd/fichetox/fiche.html?refINRS=FICHETOX_14&amp;section=bibliographieAuteurs" TargetMode="External"/><Relationship Id="rId62" Type="http://schemas.openxmlformats.org/officeDocument/2006/relationships/hyperlink" Target="https://www.inrs.fr/accueil/publications/bdd/fichetox/fiche.html?refINRS=FICHETOX_14&amp;section=caracteristiques" TargetMode="External"/><Relationship Id="rId61" Type="http://schemas.openxmlformats.org/officeDocument/2006/relationships/hyperlink" Target="https://www.inrs.fr/accueil/publications/bdd/fichetox/fiche.html?refINRS=FICHETOX_14&amp;section=generalites" TargetMode="External"/><Relationship Id="rId64" Type="http://schemas.openxmlformats.org/officeDocument/2006/relationships/hyperlink" Target="https://www.inrs.fr/accueil/publications/bdd/fichetox/fiche.html?refINRS=FICHETOX_14&amp;section=incendieExplosion" TargetMode="External"/><Relationship Id="rId65" Type="http://schemas.openxmlformats.org/officeDocument/2006/relationships/hyperlink" Target="https://www.inrs.fr/accueil/publications/bdd/fichetox/fiche.html?refINRS=FICHETOX_14&amp;section=pathologieToxicologie" TargetMode="External"/><Relationship Id="rId67" Type="http://schemas.openxmlformats.org/officeDocument/2006/relationships/hyperlink" Target="https://www.inrs.fr/accueil/publications/bdd/fichetox/fiche.html?refINRS=FICHETOX_14&amp;section=recommandations" TargetMode="External"/><Relationship Id="rId66" Type="http://schemas.openxmlformats.org/officeDocument/2006/relationships/hyperlink" Target="https://www.inrs.fr/accueil/publications/bdd/fichetox/fiche.html?refINRS=FICHETOX_14&amp;section=reglementation" TargetMode="External"/><Relationship Id="rId38" Type="http://schemas.openxmlformats.org/officeDocument/2006/relationships/hyperlink" Target="https://www.inrs.fr/accueil/publications/bdd/fichetox/fiche.html?refINRS=FICHETOX_48" TargetMode="External"/><Relationship Id="rId41" Type="http://schemas.openxmlformats.org/officeDocument/2006/relationships/hyperlink" Target="https://www.inrs.fr/accueil/publications/bdd/fichetox/fiche.html?refINRS=FICHETOX_48&amp;section=VLEPMesurage" TargetMode="External"/><Relationship Id="rId46" Type="http://schemas.openxmlformats.org/officeDocument/2006/relationships/hyperlink" Target="https://www.inrs.fr/accueil/publications/bdd/fichetox/fiche.html?refINRS=FICHETOX_48&amp;section=bibliographieAuteurs" TargetMode="External"/><Relationship Id="rId40" Type="http://schemas.openxmlformats.org/officeDocument/2006/relationships/hyperlink" Target="https://www.inrs.fr/accueil/publications/bdd/fichetox/fiche.html?refINRS=FICHETOX_48&amp;section=caracteristiques" TargetMode="External"/><Relationship Id="rId39" Type="http://schemas.openxmlformats.org/officeDocument/2006/relationships/hyperlink" Target="https://www.inrs.fr/accueil/publications/bdd/fichetox/fiche.html?refINRS=FICHETOX_48&amp;section=generalites" TargetMode="External"/><Relationship Id="rId42" Type="http://schemas.openxmlformats.org/officeDocument/2006/relationships/hyperlink" Target="https://www.inrs.fr/accueil/publications/bdd/fichetox/fiche.html?refINRS=FICHETOX_48&amp;section=incendieExplosion" TargetMode="External"/><Relationship Id="rId43" Type="http://schemas.openxmlformats.org/officeDocument/2006/relationships/hyperlink" Target="https://www.inrs.fr/accueil/publications/bdd/fichetox/fiche.html?refINRS=FICHETOX_48&amp;section=pathologieToxicologie" TargetMode="External"/><Relationship Id="rId45" Type="http://schemas.openxmlformats.org/officeDocument/2006/relationships/hyperlink" Target="https://www.inrs.fr/accueil/publications/bdd/fichetox/fiche.html?refINRS=FICHETOX_48&amp;section=recommandations" TargetMode="External"/><Relationship Id="rId44" Type="http://schemas.openxmlformats.org/officeDocument/2006/relationships/hyperlink" Target="https://www.inrs.fr/accueil/publications/bdd/fichetox/fiche.html?refINRS=FICHETOX_48&amp;section=reglementation" TargetMode="External"/><Relationship Id="rId49" Type="http://schemas.openxmlformats.org/officeDocument/2006/relationships/hyperlink" Target="https://www.inrs.fr/accueil/publications/bdd/fichetox/fiche.html?refINRS=FICHETOX_66" TargetMode="External"/><Relationship Id="rId52" Type="http://schemas.openxmlformats.org/officeDocument/2006/relationships/hyperlink" Target="https://www.inrs.fr/accueil/publications/bdd/fichetox/fiche.html?refINRS=FICHETOX_66&amp;section=VLEPMesurage" TargetMode="External"/><Relationship Id="rId57" Type="http://schemas.openxmlformats.org/officeDocument/2006/relationships/hyperlink" Target="https://www.inrs.fr/accueil/publications/bdd/fichetox/fiche.html?refINRS=FICHETOX_66&amp;section=bibliographieAuteurs" TargetMode="External"/><Relationship Id="rId51" Type="http://schemas.openxmlformats.org/officeDocument/2006/relationships/hyperlink" Target="https://www.inrs.fr/accueil/publications/bdd/fichetox/fiche.html?refINRS=FICHETOX_66&amp;section=caracteristiques" TargetMode="External"/><Relationship Id="rId50" Type="http://schemas.openxmlformats.org/officeDocument/2006/relationships/hyperlink" Target="https://www.inrs.fr/accueil/publications/bdd/fichetox/fiche.html?refINRS=FICHETOX_66&amp;section=generalites" TargetMode="External"/><Relationship Id="rId53" Type="http://schemas.openxmlformats.org/officeDocument/2006/relationships/hyperlink" Target="https://www.inrs.fr/accueil/publications/bdd/fichetox/fiche.html?refINRS=FICHETOX_66&amp;section=incendieExplosion" TargetMode="External"/><Relationship Id="rId54" Type="http://schemas.openxmlformats.org/officeDocument/2006/relationships/hyperlink" Target="https://www.inrs.fr/accueil/publications/bdd/fichetox/fiche.html?refINRS=FICHETOX_66&amp;section=pathologieToxicologie" TargetMode="External"/><Relationship Id="rId56" Type="http://schemas.openxmlformats.org/officeDocument/2006/relationships/hyperlink" Target="https://www.inrs.fr/accueil/publications/bdd/fichetox/fiche.html?refINRS=FICHETOX_66&amp;section=recommandations" TargetMode="External"/><Relationship Id="rId55" Type="http://schemas.openxmlformats.org/officeDocument/2006/relationships/hyperlink" Target="https://www.inrs.fr/accueil/publications/bdd/fichetox/fiche.html?refINRS=FICHETOX_66&amp;section=reglementation" TargetMode="External"/></Relationships>
</file>

<file path=word/_rels/footnotes.xml.rels><?xml version='1.0' encoding='UTF-8' standalone='yes'?>
<Relationships xmlns="http://schemas.openxmlformats.org/package/2006/relationships"><Relationship Id="rId60" Type="http://schemas.openxmlformats.org/officeDocument/2006/relationships/hyperlink" Target="https://www.inrs.fr/accueil/publications/bdd/fichetox/fiche.html?refINRS=FICHETOX_14" TargetMode="External"/><Relationship Id="rId63" Type="http://schemas.openxmlformats.org/officeDocument/2006/relationships/hyperlink" Target="https://www.inrs.fr/accueil/publications/bdd/fichetox/fiche.html?refINRS=FICHETOX_14&amp;section=VLEPMesurage" TargetMode="External"/><Relationship Id="rId68" Type="http://schemas.openxmlformats.org/officeDocument/2006/relationships/hyperlink" Target="https://www.inrs.fr/accueil/publications/bdd/fichetox/fiche.html?refINRS=FICHETOX_14&amp;section=bibliographieAuteurs" TargetMode="External"/><Relationship Id="rId62" Type="http://schemas.openxmlformats.org/officeDocument/2006/relationships/hyperlink" Target="https://www.inrs.fr/accueil/publications/bdd/fichetox/fiche.html?refINRS=FICHETOX_14&amp;section=caracteristiques" TargetMode="External"/><Relationship Id="rId61" Type="http://schemas.openxmlformats.org/officeDocument/2006/relationships/hyperlink" Target="https://www.inrs.fr/accueil/publications/bdd/fichetox/fiche.html?refINRS=FICHETOX_14&amp;section=generalites" TargetMode="External"/><Relationship Id="rId64" Type="http://schemas.openxmlformats.org/officeDocument/2006/relationships/hyperlink" Target="https://www.inrs.fr/accueil/publications/bdd/fichetox/fiche.html?refINRS=FICHETOX_14&amp;section=incendieExplosion" TargetMode="External"/><Relationship Id="rId65" Type="http://schemas.openxmlformats.org/officeDocument/2006/relationships/hyperlink" Target="https://www.inrs.fr/accueil/publications/bdd/fichetox/fiche.html?refINRS=FICHETOX_14&amp;section=pathologieToxicologie" TargetMode="External"/><Relationship Id="rId67" Type="http://schemas.openxmlformats.org/officeDocument/2006/relationships/hyperlink" Target="https://www.inrs.fr/accueil/publications/bdd/fichetox/fiche.html?refINRS=FICHETOX_14&amp;section=recommandations" TargetMode="External"/><Relationship Id="rId66" Type="http://schemas.openxmlformats.org/officeDocument/2006/relationships/hyperlink" Target="https://www.inrs.fr/accueil/publications/bdd/fichetox/fiche.html?refINRS=FICHETOX_14&amp;section=reglementation" TargetMode="External"/><Relationship Id="rId38" Type="http://schemas.openxmlformats.org/officeDocument/2006/relationships/hyperlink" Target="https://www.inrs.fr/accueil/publications/bdd/fichetox/fiche.html?refINRS=FICHETOX_48" TargetMode="External"/><Relationship Id="rId41" Type="http://schemas.openxmlformats.org/officeDocument/2006/relationships/hyperlink" Target="https://www.inrs.fr/accueil/publications/bdd/fichetox/fiche.html?refINRS=FICHETOX_48&amp;section=VLEPMesurage" TargetMode="External"/><Relationship Id="rId46" Type="http://schemas.openxmlformats.org/officeDocument/2006/relationships/hyperlink" Target="https://www.inrs.fr/accueil/publications/bdd/fichetox/fiche.html?refINRS=FICHETOX_48&amp;section=bibliographieAuteurs" TargetMode="External"/><Relationship Id="rId40" Type="http://schemas.openxmlformats.org/officeDocument/2006/relationships/hyperlink" Target="https://www.inrs.fr/accueil/publications/bdd/fichetox/fiche.html?refINRS=FICHETOX_48&amp;section=caracteristiques" TargetMode="External"/><Relationship Id="rId39" Type="http://schemas.openxmlformats.org/officeDocument/2006/relationships/hyperlink" Target="https://www.inrs.fr/accueil/publications/bdd/fichetox/fiche.html?refINRS=FICHETOX_48&amp;section=generalites" TargetMode="External"/><Relationship Id="rId42" Type="http://schemas.openxmlformats.org/officeDocument/2006/relationships/hyperlink" Target="https://www.inrs.fr/accueil/publications/bdd/fichetox/fiche.html?refINRS=FICHETOX_48&amp;section=incendieExplosion" TargetMode="External"/><Relationship Id="rId43" Type="http://schemas.openxmlformats.org/officeDocument/2006/relationships/hyperlink" Target="https://www.inrs.fr/accueil/publications/bdd/fichetox/fiche.html?refINRS=FICHETOX_48&amp;section=pathologieToxicologie" TargetMode="External"/><Relationship Id="rId45" Type="http://schemas.openxmlformats.org/officeDocument/2006/relationships/hyperlink" Target="https://www.inrs.fr/accueil/publications/bdd/fichetox/fiche.html?refINRS=FICHETOX_48&amp;section=recommandations" TargetMode="External"/><Relationship Id="rId44" Type="http://schemas.openxmlformats.org/officeDocument/2006/relationships/hyperlink" Target="https://www.inrs.fr/accueil/publications/bdd/fichetox/fiche.html?refINRS=FICHETOX_48&amp;section=reglementation" TargetMode="External"/><Relationship Id="rId49" Type="http://schemas.openxmlformats.org/officeDocument/2006/relationships/hyperlink" Target="https://www.inrs.fr/accueil/publications/bdd/fichetox/fiche.html?refINRS=FICHETOX_66" TargetMode="External"/><Relationship Id="rId52" Type="http://schemas.openxmlformats.org/officeDocument/2006/relationships/hyperlink" Target="https://www.inrs.fr/accueil/publications/bdd/fichetox/fiche.html?refINRS=FICHETOX_66&amp;section=VLEPMesurage" TargetMode="External"/><Relationship Id="rId57" Type="http://schemas.openxmlformats.org/officeDocument/2006/relationships/hyperlink" Target="https://www.inrs.fr/accueil/publications/bdd/fichetox/fiche.html?refINRS=FICHETOX_66&amp;section=bibliographieAuteurs" TargetMode="External"/><Relationship Id="rId51" Type="http://schemas.openxmlformats.org/officeDocument/2006/relationships/hyperlink" Target="https://www.inrs.fr/accueil/publications/bdd/fichetox/fiche.html?refINRS=FICHETOX_66&amp;section=caracteristiques" TargetMode="External"/><Relationship Id="rId50" Type="http://schemas.openxmlformats.org/officeDocument/2006/relationships/hyperlink" Target="https://www.inrs.fr/accueil/publications/bdd/fichetox/fiche.html?refINRS=FICHETOX_66&amp;section=generalites" TargetMode="External"/><Relationship Id="rId53" Type="http://schemas.openxmlformats.org/officeDocument/2006/relationships/hyperlink" Target="https://www.inrs.fr/accueil/publications/bdd/fichetox/fiche.html?refINRS=FICHETOX_66&amp;section=incendieExplosion" TargetMode="External"/><Relationship Id="rId54" Type="http://schemas.openxmlformats.org/officeDocument/2006/relationships/hyperlink" Target="https://www.inrs.fr/accueil/publications/bdd/fichetox/fiche.html?refINRS=FICHETOX_66&amp;section=pathologieToxicologie" TargetMode="External"/><Relationship Id="rId56" Type="http://schemas.openxmlformats.org/officeDocument/2006/relationships/hyperlink" Target="https://www.inrs.fr/accueil/publications/bdd/fichetox/fiche.html?refINRS=FICHETOX_66&amp;section=recommandations" TargetMode="External"/><Relationship Id="rId55" Type="http://schemas.openxmlformats.org/officeDocument/2006/relationships/hyperlink" Target="https://www.inrs.fr/accueil/publications/bdd/fichetox/fiche.html?refINRS=FICHETOX_66&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38</Words>
  <Characters>167</Characters>
  <Application>Microsoft Office Word</Application>
  <DocSecurity>0</DocSecurity>
  <Lines>16</Lines>
  <Paragraphs>18</Paragraphs>
  <ScaleCrop>false</ScaleCrop>
  <Company/>
  <LinksUpToDate>false</LinksUpToDate>
  <CharactersWithSpaces>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2026-07-06T11:11:55Z</dcterms:created>
  <dcterms:modified xsi:type="dcterms:W3CDTF">2026-07-06T11:11:55Z</dcterms:modified>
</cp:coreProperties>
</file>

<file path=docProps/custom.xml><?xml version="1.0" encoding="utf-8"?>
<Properties xmlns="http://schemas.openxmlformats.org/officeDocument/2006/custom-properties" xmlns:vt="http://schemas.openxmlformats.org/officeDocument/2006/docPropsVTypes"/>
</file>