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ethanolabsolu20821vwr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VWR International Ltd.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ethanolabsolu20821vwr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X83096aa813f1750a9a4614dc832ef6f426871e2"/>
    <w:p>
      <w:pPr>
        <w:pStyle w:val="Heading1"/>
      </w:pPr>
      <w:r>
        <w:t xml:space="preserve">Analyse des dangers : ethanolabsolu20821vwr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ethanolabsolu20821vwr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VWR International Ltd.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Réactif chimique général.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2017-12-24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2017-12-24.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P243</w:t>
      </w:r>
      <w:r>
        <w:t xml:space="preserve"> </w:t>
      </w:r>
      <w:r>
        <w:t xml:space="preserve">Prendre des mesures de précaution contre les décharges électrostatiques.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protection, des vêtements de protection, un équipement de protection des yeux et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 : rincer soigneusement à l’eau pendant plusieurs minutes. Enlever les lentilles de contact si la victime en porte et si elles peuvent être facilement retirées. Continuer à rincer.</w:t>
      </w:r>
    </w:p>
    <w:p>
      <w:pPr>
        <w:numPr>
          <w:ilvl w:val="0"/>
          <w:numId w:val="1004"/>
        </w:numPr>
      </w:pPr>
      <w:r>
        <w:t xml:space="preserve">P403+P235</w:t>
      </w:r>
      <w:r>
        <w:t xml:space="preserve"> </w:t>
      </w:r>
      <w:r>
        <w:t xml:space="preserve">Stocker dans un endroit bien ventilé. Maintenir au frais.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3</w:t>
      </w:r>
    </w:p>
    <w:p>
      <w:pPr>
        <w:pStyle w:val="Compact"/>
        <w:numPr>
          <w:ilvl w:val="0"/>
          <w:numId w:val="1005"/>
        </w:numPr>
      </w:pPr>
      <w:r>
        <w:t xml:space="preserve">ADN : n’est pas disponible</w:t>
      </w:r>
    </w:p>
    <w:p>
      <w:pPr>
        <w:pStyle w:val="Compact"/>
        <w:numPr>
          <w:ilvl w:val="0"/>
          <w:numId w:val="1005"/>
        </w:numPr>
      </w:pPr>
      <w:r>
        <w:t xml:space="preserve">IMDG : 3</w:t>
      </w:r>
    </w:p>
    <w:p>
      <w:pPr>
        <w:pStyle w:val="Compact"/>
        <w:numPr>
          <w:ilvl w:val="0"/>
          <w:numId w:val="1005"/>
        </w:numPr>
      </w:pPr>
      <w:r>
        <w:t xml:space="preserve">IATA : 3</w:t>
      </w:r>
    </w:p>
    <w:p>
      <w:pPr>
        <w:pStyle w:val="Compact"/>
        <w:numPr>
          <w:ilvl w:val="0"/>
          <w:numId w:val="1005"/>
        </w:numPr>
      </w:pPr>
      <w:r>
        <w:t xml:space="preserve">UN : 1170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• Après contact avec la peau, laver immédiatement abondamment à l’eau et au savon.</w:t>
      </w:r>
      <w:r>
        <w:t xml:space="preserve"> </w:t>
      </w:r>
      <w:r>
        <w:t xml:space="preserve">• Enlever les vêtements contaminés et saturés immédiatement.</w:t>
      </w:r>
      <w:r>
        <w:t xml:space="preserve"> </w:t>
      </w:r>
      <w:r>
        <w:t xml:space="preserve">• En cas de réactions cutanées, consulter un médecin.</w:t>
      </w:r>
    </w:p>
    <w:p>
      <w:pPr>
        <w:pStyle w:val="BodyText"/>
      </w:pPr>
      <w:r>
        <w:t xml:space="preserve">yeux : • Rincez immédiatement abondamment à l’eau courante pendant 10 à 15 minutes en maintenant les paupières écartées.</w:t>
      </w:r>
      <w:r>
        <w:t xml:space="preserve"> </w:t>
      </w:r>
      <w:r>
        <w:t xml:space="preserve">• Retirez les lentilles de contact si elles sont présentes et faciles à retirer.</w:t>
      </w:r>
      <w:r>
        <w:t xml:space="preserve"> </w:t>
      </w:r>
      <w:r>
        <w:t xml:space="preserve">• Continuez à rincer.</w:t>
      </w:r>
      <w:r>
        <w:t xml:space="preserve"> </w:t>
      </w:r>
      <w:r>
        <w:t xml:space="preserve">• Consultez un ophtalmologiste et protégez l’œil non blessé.</w:t>
      </w:r>
    </w:p>
    <w:p>
      <w:pPr>
        <w:pStyle w:val="BodyText"/>
      </w:pPr>
      <w:r>
        <w:t xml:space="preserve">ingestion : • Si avalé accidentellement, rincez la bouche abondamment à l’eau (uniquement si la personne est consciente).</w:t>
      </w:r>
      <w:r>
        <w:t xml:space="preserve"> </w:t>
      </w:r>
      <w:r>
        <w:t xml:space="preserve">• Obtenez immédiatement une assistance médicale.</w:t>
      </w:r>
      <w:r>
        <w:t xml:space="preserve"> </w:t>
      </w:r>
      <w:r>
        <w:t xml:space="preserve">• NE provoquez PAS de vomissements.</w:t>
      </w:r>
      <w:r>
        <w:t xml:space="preserve"> </w:t>
      </w:r>
      <w:r>
        <w:t xml:space="preserve">• Ne donnez rien à manger ni à boire.</w:t>
      </w:r>
    </w:p>
    <w:p>
      <w:pPr>
        <w:pStyle w:val="BodyText"/>
      </w:pPr>
      <w:r>
        <w:t xml:space="preserve">inhalation : • Appelez un CENTRE ANTIPOISON ou un médecin.</w:t>
      </w:r>
      <w:r>
        <w:t xml:space="preserve"> </w:t>
      </w:r>
      <w:r>
        <w:t xml:space="preserve">• Sortez la victime à l’air frais et gardez-la au chaud et au repos.</w:t>
      </w:r>
      <w:r>
        <w:t xml:space="preserve"> </w:t>
      </w:r>
      <w:r>
        <w:t xml:space="preserve">• Si la respiration est irrégulière ou arrêtée, administrez une respiration artificielle.</w:t>
      </w:r>
    </w:p>
    <w:p>
      <w:r>
        <w:br w:type="page"/>
      </w:r>
    </w:p>
    <w:bookmarkEnd w:id="37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ethanol-absolute"/>
    <w:p>
      <w:pPr>
        <w:pStyle w:val="Heading3"/>
      </w:pPr>
      <w:r>
        <w:t xml:space="preserve">Ethanol absolute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FICHENovembre 2019Fiche n°48 - ÉthanolFiche présentant l’essentiel des données d’hygiène et de sécurité relatives à« Éthanol »avec un rappel de la réglementation française et des recommandations techniques et médicales.En savoir plus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gants en nitrile (NBR) avec les temps de percée spécifiés et les articles recommandés pour les contacts manuels courts et longs. • Épaisseur : non spécifiée</w:t>
            </w:r>
            <w:r>
              <w:rPr>
                <w:sz w:val="20"/>
                <w:szCs w:val="20"/>
              </w:rPr>
              <w:t xml:space="preserve">• Temps de percée (temps de port maximal) : 240-480 min</w:t>
            </w:r>
            <w:r>
              <w:rPr>
                <w:sz w:val="20"/>
                <w:szCs w:val="20"/>
              </w:rPr>
              <w:t xml:space="preserve">• Articles de gants recommandés : VWR 112-3717 / 112-1381 • Épaisseur : 0,425 mm</w:t>
            </w:r>
            <w:r>
              <w:rPr>
                <w:sz w:val="20"/>
                <w:szCs w:val="20"/>
              </w:rPr>
              <w:t xml:space="preserve">• Temps de percée (temps de port maximal) : &gt; 480 min</w:t>
            </w:r>
            <w:r>
              <w:rPr>
                <w:sz w:val="20"/>
                <w:szCs w:val="20"/>
              </w:rPr>
              <w:t xml:space="preserve">• Articles de gants recommandés : VWR 112-0971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Utilisez des lunettes de protection conformes à la norme DIN-EN 166 avec protection latérale (VWR 111-0432). • Lunettes de protection avec protection latérale, norme DIN-EN 166</w:t>
            </w:r>
            <w:r>
              <w:rPr>
                <w:sz w:val="20"/>
                <w:szCs w:val="20"/>
              </w:rPr>
              <w:t xml:space="preserve">• Recommandation : VWR 111-0432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gants en nitrile (NBR) avec les temps de percée spécifiés et les articles recommandés pour les contacts manuels courts et longs. • Épaisseur : non spécifiée</w:t>
            </w:r>
            <w:r>
              <w:rPr>
                <w:sz w:val="20"/>
                <w:szCs w:val="20"/>
              </w:rPr>
              <w:t xml:space="preserve">• Temps de percée (temps de port maximal) : 240-480 min</w:t>
            </w:r>
            <w:r>
              <w:rPr>
                <w:sz w:val="20"/>
                <w:szCs w:val="20"/>
              </w:rPr>
              <w:t xml:space="preserve">• Articles de gants recommandés : VWR 112-3717 / 112-1381 • Épaisseur : 0,425 mm</w:t>
            </w:r>
            <w:r>
              <w:rPr>
                <w:sz w:val="20"/>
                <w:szCs w:val="20"/>
              </w:rPr>
              <w:t xml:space="preserve">• Temps de percée (temps de port maximal) : &gt; 480 min</w:t>
            </w:r>
            <w:r>
              <w:rPr>
                <w:sz w:val="20"/>
                <w:szCs w:val="20"/>
              </w:rPr>
              <w:t xml:space="preserve">• Articles de gants recommandés : VWR 112-0971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un aérosol ou une brume est généré, utilisez un masque facial complet, demi-masque ou quart de masque (DIN EN 136/140) avec du matériau filtrant ABEK2P3 (VWR 111-0206). • Masques faciaux complets, masques faciaux demi ou masques faciaux quart (DIN EN 136/140)</w:t>
            </w:r>
            <w:r>
              <w:rPr>
                <w:sz w:val="20"/>
                <w:szCs w:val="20"/>
              </w:rPr>
              <w:t xml:space="preserve">• Recommandation : VWR 111-0206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vêtements de protection portant une étiquette CE avec les quatre chiffres de contrôle ; le matériau ou l’épaisseur spécifiques ne sont pas détaillés. • Doit avoir une étiquette CE incluant les quatre chiffres de contrôle.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pour une manipulation sûre 1. Précautions générales de processus de travail - Concevez les processus de travail de manière à minimiser autant que possible l’inhalation, le contact avec la peau et le contact avec les yeux. - Tenez-vous éloigné des sources d’ignition : pas de fumée, pas de flammes ouvertes, pas d’étincelles, pas de surfaces chaudes. - Prenez des mesures préventives contre les décharges électrostatiques. - Protéger de l’humidité. 2. Équipements de protection individuelle (EPI) - Vêtements de protection: porter des vêtements de protection adaptés portant l’étiquette CE, y compris les quatre chiffres de contrôle. - Protection des yeux/du visage: lunettes avec protection latérale (DIN EN 166). - Protection de la peau: - Pour un contact manuel à court terme : gants en caoutchouc nitrile (NBR), temps de percée 240-480 min, articles recommandés VWR 112-3717 / 112-1381. - Pour un contact manuel prolongé : gants NBR, épaisseur 0,425 mm, temps de percée &gt; 480 min, article recommandé VWR 112-0971. - Protection respiratoire (en cas de formation d’aérosols ou de brouillard) : masques faciaux complets, demi-masques ou quarts de masque (DIN EN 136/140), recommandation VWR 111-0206, matériau adapté ABEK2P3 (VWR 111-0059). 3. Contrôles techniques - Utiliser une ventilation locale par aspiration lors de la manipulation à découvert. 4. Autres mesures de sécurité - Fournir une douche oculaire et indiquer clairement son emplacement. - Se laver les mains avant les pauses et après le travail. - Éviter tout contact avec la peau et les yeux ; ne pas manger, boire ni fumer pendant la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pour un stockage sûr (y compris les incompatibilités) - Température de stockage recommandée : 15 à 25 °C - Classe de stockage : 3 - Manipulation des conteneurs : Garder le récipient bien fermé et dans un endroit bien ventilé. - Emplacement : Ranger loin des matières combustibles. Incompatibilités : Aucune incompatibilité spécifique n’est mentionnée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Réactif chimique général.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accueil/publications/bdd/fichetox/fiche.html?refINRS=FICHETOX_48" TargetMode="External"/><Relationship Id="rId41" Type="http://schemas.openxmlformats.org/officeDocument/2006/relationships/hyperlink" Target="https://www.inrs.fr/accueil/publications/bdd/fichetox/fiche.html?refINRS=FICHETOX_48&amp;section=VLEPMesurage" TargetMode="External"/><Relationship Id="rId46" Type="http://schemas.openxmlformats.org/officeDocument/2006/relationships/hyperlink" Target="https://www.inrs.fr/accueil/publications/bdd/fichetox/fiche.html?refINRS=FICHETOX_48&amp;section=bibliographieAuteurs" TargetMode="External"/><Relationship Id="rId40" Type="http://schemas.openxmlformats.org/officeDocument/2006/relationships/hyperlink" Target="https://www.inrs.fr/accueil/publications/bdd/fichetox/fiche.html?refINRS=FICHETOX_48&amp;section=caracteristiques" TargetMode="External"/><Relationship Id="rId39" Type="http://schemas.openxmlformats.org/officeDocument/2006/relationships/hyperlink" Target="https://www.inrs.fr/accueil/publications/bdd/fichetox/fiche.html?refINRS=FICHETOX_48&amp;section=generalites" TargetMode="External"/><Relationship Id="rId42" Type="http://schemas.openxmlformats.org/officeDocument/2006/relationships/hyperlink" Target="https://www.inrs.fr/accueil/publications/bdd/fichetox/fiche.html?refINRS=FICHETOX_48&amp;section=incendieExplosion" TargetMode="External"/><Relationship Id="rId43" Type="http://schemas.openxmlformats.org/officeDocument/2006/relationships/hyperlink" Target="https://www.inrs.fr/accueil/publications/bdd/fichetox/fiche.html?refINRS=FICHETOX_48&amp;section=pathologieToxicologie" TargetMode="External"/><Relationship Id="rId45" Type="http://schemas.openxmlformats.org/officeDocument/2006/relationships/hyperlink" Target="https://www.inrs.fr/accueil/publications/bdd/fichetox/fiche.html?refINRS=FICHETOX_48&amp;section=recommandations" TargetMode="External"/><Relationship Id="rId44" Type="http://schemas.openxmlformats.org/officeDocument/2006/relationships/hyperlink" Target="https://www.inrs.fr/accueil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accueil/publications/bdd/fichetox/fiche.html?refINRS=FICHETOX_48" TargetMode="External"/><Relationship Id="rId41" Type="http://schemas.openxmlformats.org/officeDocument/2006/relationships/hyperlink" Target="https://www.inrs.fr/accueil/publications/bdd/fichetox/fiche.html?refINRS=FICHETOX_48&amp;section=VLEPMesurage" TargetMode="External"/><Relationship Id="rId46" Type="http://schemas.openxmlformats.org/officeDocument/2006/relationships/hyperlink" Target="https://www.inrs.fr/accueil/publications/bdd/fichetox/fiche.html?refINRS=FICHETOX_48&amp;section=bibliographieAuteurs" TargetMode="External"/><Relationship Id="rId40" Type="http://schemas.openxmlformats.org/officeDocument/2006/relationships/hyperlink" Target="https://www.inrs.fr/accueil/publications/bdd/fichetox/fiche.html?refINRS=FICHETOX_48&amp;section=caracteristiques" TargetMode="External"/><Relationship Id="rId39" Type="http://schemas.openxmlformats.org/officeDocument/2006/relationships/hyperlink" Target="https://www.inrs.fr/accueil/publications/bdd/fichetox/fiche.html?refINRS=FICHETOX_48&amp;section=generalites" TargetMode="External"/><Relationship Id="rId42" Type="http://schemas.openxmlformats.org/officeDocument/2006/relationships/hyperlink" Target="https://www.inrs.fr/accueil/publications/bdd/fichetox/fiche.html?refINRS=FICHETOX_48&amp;section=incendieExplosion" TargetMode="External"/><Relationship Id="rId43" Type="http://schemas.openxmlformats.org/officeDocument/2006/relationships/hyperlink" Target="https://www.inrs.fr/accueil/publications/bdd/fichetox/fiche.html?refINRS=FICHETOX_48&amp;section=pathologieToxicologie" TargetMode="External"/><Relationship Id="rId45" Type="http://schemas.openxmlformats.org/officeDocument/2006/relationships/hyperlink" Target="https://www.inrs.fr/accueil/publications/bdd/fichetox/fiche.html?refINRS=FICHETOX_48&amp;section=recommandations" TargetMode="External"/><Relationship Id="rId44" Type="http://schemas.openxmlformats.org/officeDocument/2006/relationships/hyperlink" Target="https://www.inrs.fr/accueil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2026-07-06T11:17:09Z</dcterms:created>
  <dcterms:modified xsi:type="dcterms:W3CDTF">2026-07-06T11:17:09Z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