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fastblueractif2biomerieux70562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fastblueractif2biomerieux70562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3" w:name="X77cfc5065ee6439500f8f8d96ff14cc66b767f7"/>
    <w:p>
      <w:pPr>
        <w:pStyle w:val="Heading1"/>
      </w:pPr>
      <w:r>
        <w:t xml:space="preserve">Analyse des dangers : fastblueractif2biomerieux70562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fastblueractif2biomerieux70562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2023-11-29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2023-11-29.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4" name="Picture"/>
            <a:graphic>
              <a:graphicData uri="http://schemas.openxmlformats.org/drawingml/2006/picture">
                <pic:pic>
                  <pic:nvPicPr>
                    <pic:cNvPr descr="templates/SGH08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3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P301+P312</w:t>
      </w:r>
      <w:r>
        <w:t xml:space="preserve"> </w:t>
      </w:r>
      <w:r>
        <w:t xml:space="preserve">EN CAS D’INGESTION: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zone touchée avec de l’eau et du savon.</w:t>
      </w:r>
      <w:r>
        <w:t xml:space="preserve"> </w:t>
      </w:r>
      <w:r>
        <w:t xml:space="preserve">Consulter un médecin si une irritation se développe et persiste.</w:t>
      </w:r>
    </w:p>
    <w:p>
      <w:pPr>
        <w:pStyle w:val="BodyText"/>
      </w:pPr>
      <w:r>
        <w:t xml:space="preserve">eyes : Ne pas se frotter les yeux.</w:t>
      </w:r>
      <w:r>
        <w:t xml:space="preserve"> </w:t>
      </w:r>
      <w:r>
        <w:t xml:space="preserve">Les personnes portant des lentilles de contact doivent les enlever autant que possible.</w:t>
      </w:r>
      <w:r>
        <w:t xml:space="preserve"> </w:t>
      </w:r>
      <w:r>
        <w:t xml:space="preserve">Rincer abondamment les yeux à l’eau claire.</w:t>
      </w:r>
      <w:r>
        <w:t xml:space="preserve"> </w:t>
      </w:r>
      <w:r>
        <w:t xml:space="preserve">Consulter un médecin si une irritation se développe et persiste.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En cas de vomissement, garder la tête basse pour éviter une pénétration du contenu de l’estomac dans les poumons.</w:t>
      </w:r>
      <w:r>
        <w:t xml:space="preserve"> </w:t>
      </w:r>
      <w:r>
        <w:t xml:space="preserve">Contacter un centre antipoison ou un médecin en cas de malaise.</w:t>
      </w:r>
    </w:p>
    <w:p>
      <w:pPr>
        <w:pStyle w:val="BodyText"/>
      </w:pPr>
      <w:r>
        <w:t xml:space="preserve">inhalation : Si la respiration est difficile, sortir la victime à l’air frais et la maintenir au repos dans une position où elle peut respirer confortablement.</w:t>
      </w:r>
      <w:r>
        <w:t xml:space="preserve"> </w:t>
      </w:r>
      <w:r>
        <w:t xml:space="preserve">Contacter un médecin si les symptômes se développent ou persistent.</w:t>
      </w:r>
    </w:p>
    <w:p>
      <w:r>
        <w:br w:type="page"/>
      </w:r>
    </w:p>
    <w:bookmarkEnd w:id="37"/>
    <w:bookmarkStart w:id="4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fast-blue-bb-salt"/>
    <w:p>
      <w:pPr>
        <w:pStyle w:val="Heading3"/>
      </w:pPr>
      <w:r>
        <w:t xml:space="preserve">Fast blue BB salt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5486-84-0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90.0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End w:id="40"/>
    <w:bookmarkStart w:id="4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en nitrile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(aucune mention d’épaisseur ou de temps de perçage).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à écrans latéraux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(aucune autre caractéristique précisée).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Respirateur à cartouche chimique pour les vapeurs organiques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et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masque complet avec filtre pour poussières et aérosols</w:t>
            </w:r>
            <w:r>
              <w:rPr>
                <w:sz w:val="20"/>
                <w:szCs w:val="20"/>
              </w:rPr>
              <w:t xml:space="preserve">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 de protection approprié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(le type exact n’est pas précisé).</w:t>
            </w:r>
          </w:p>
        </w:tc>
      </w:tr>
    </w:tbl>
    <w:bookmarkEnd w:id="41"/>
    <w:bookmarkStart w:id="4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 : - Se procurer les instructions spéciales avant utilisation. - Ne pas manipuler avant d’avoir lu et compris toutes les précautions de sécurité. - Minimiser la génération et l’accumulation de poussières. - Prévoir une ventilation adéquate aux endroits où la poussière se forme. - Éviter toute exposition prolongée. - Si possible, manipuler dans un système clos. - Porter un équipement de protection approprié. - Se laver les mains soigneusement après manipulation. - Suivre les règles de bonnes pratiques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(et incompatibilités) :” - Stocker dans un récipient fermé de manière étanche. - Stocker dans un endroit bien ventilé. - Conserver à l’écart des matières incompatibles (voir la Section 10 de la FDS). Incompatibilités :” - Agents oxydants forts.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</w:tbl>
    <w:bookmarkEnd w:id="42"/>
    <w:bookmarkEnd w:id="4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2026-07-06T11:20:24Z</dcterms:created>
  <dcterms:modified xsi:type="dcterms:W3CDTF">2026-07-06T11:20:24Z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