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gentamicineselectivesupplementledtechno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gentamicineselectivesupplementledtechno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d6139f3cdf8410c290fbe8579954e9ca9649827"/>
    <w:p>
      <w:pPr>
        <w:pStyle w:val="Heading1"/>
      </w:pPr>
      <w:r>
        <w:t xml:space="preserve">Analyse des dangers : gentamicineselectivesupplementledtechno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gentamicineselectivesupplementledtechno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2025-09-23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2025-09-23.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P272</w:t>
      </w:r>
      <w:r>
        <w:t xml:space="preserve"> </w:t>
      </w:r>
      <w:r>
        <w:t xml:space="preserve">Les vêtements de travail contaminés ne devraient pas sortir du lieu de travail.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P284</w:t>
      </w:r>
      <w:r>
        <w:t xml:space="preserve"> </w:t>
      </w:r>
      <w:r>
        <w:t xml:space="preserve">P284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P321</w:t>
      </w:r>
      <w:r>
        <w:t xml:space="preserve"> </w:t>
      </w:r>
      <w:r>
        <w:t xml:space="preserve">Traitement spécifique (voir … sur cette étiquette).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numPr>
          <w:ilvl w:val="0"/>
          <w:numId w:val="1004"/>
        </w:numPr>
      </w:pPr>
      <w:r>
        <w:t xml:space="preserve">P342+P311</w:t>
      </w:r>
      <w:r>
        <w:t xml:space="preserve"> </w:t>
      </w:r>
      <w:r>
        <w:t xml:space="preserve">En cas de symptômes respiratoires:</w:t>
      </w:r>
    </w:p>
    <w:p>
      <w:pPr>
        <w:numPr>
          <w:ilvl w:val="0"/>
          <w:numId w:val="1004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la zone touchée à l’eau (ou à l’eau/… selon le texte).</w:t>
      </w:r>
      <w:r>
        <w:t xml:space="preserve"> </w:t>
      </w:r>
      <w:r>
        <w:t xml:space="preserve">Enlever les vêtements contaminés.</w:t>
      </w:r>
      <w:r>
        <w:t xml:space="preserve"> </w:t>
      </w:r>
      <w:r>
        <w:t xml:space="preserve">En cas d’irritation ou d’éruption cutanée, consulter un médecin.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Consulter un médecin si la douleur ou la rougeur persistent.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Appeler un centre antipoison ou un médecin en cas de malaise.</w:t>
      </w:r>
      <w:r>
        <w:t xml:space="preserve"> </w:t>
      </w:r>
      <w:r>
        <w:t xml:space="preserve">NE PAS faire vomir.</w:t>
      </w:r>
    </w:p>
    <w:p>
      <w:pPr>
        <w:pStyle w:val="BodyText"/>
      </w:pPr>
      <w:r>
        <w:t xml:space="preserve">inhalation : Transporter la personne à l’extérieur.</w:t>
      </w:r>
      <w:r>
        <w:t xml:space="preserve"> </w:t>
      </w:r>
      <w:r>
        <w:t xml:space="preserve">La maintenir dans une position où elle peut respirer confortablement.</w:t>
      </w:r>
      <w:r>
        <w:t xml:space="preserve"> </w:t>
      </w:r>
      <w:r>
        <w:t xml:space="preserve">En cas de symptômes respiratoires (difficultés respiratoires, asthme, allergies), appeler un centre antipoison ou un médecin.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gentamicine-sulfate"/>
    <w:p>
      <w:pPr>
        <w:pStyle w:val="Heading3"/>
      </w:pPr>
      <w:r>
        <w:t xml:space="preserve">Gentamicine sulfate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1405-41-0</w:t>
      </w:r>
    </w:p>
    <w:p>
      <w:pPr>
        <w:pStyle w:val="Compact"/>
        <w:numPr>
          <w:ilvl w:val="0"/>
          <w:numId w:val="1006"/>
        </w:numPr>
      </w:pPr>
      <w:r>
        <w:t xml:space="preserve">N° EINECS : 215-778-9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Porter des gants appropriés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et du visage Porter des lunettes de sécurité à protection latérale pour éviter toute lésion par des particules volantes et/ou par un quelconque contact du produit avec les yeux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Equipement de protection respiratoire approprié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Porter un vêtement de protection approprié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Ne pas respirer les poussières. - Éviter le contact avec la peau et les yeux. - Porter un équipement de protection individuel (gants, vêtements de protection, lunettes de sécurité, protection respiratoire, etc.).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Maintenir le récipient fermé de manière étanche. - Température de stockage : 2 – 8 °C. - Matériaux d’emballage : verre. Incompatibilités : - Agent oxydant.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2026-07-06T11:20:45Z</dcterms:created>
  <dcterms:modified xsi:type="dcterms:W3CDTF">2026-07-06T11:20:45Z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