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jamesractif1biomerieux20120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jamesractif1biomerieux20120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8" w:name="Xe2f518611466c422d4e449382a7b0830ed24cea"/>
    <w:p>
      <w:pPr>
        <w:pStyle w:val="Heading1"/>
      </w:pPr>
      <w:r>
        <w:t xml:space="preserve">Analyse des dangers : jamesractif1biomerieux20120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jamesractif1biomerieux20120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bioMérieux Benelux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2023-11-17.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P260</w:t>
      </w:r>
      <w:r>
        <w:t xml:space="preserve"> </w:t>
      </w:r>
      <w:r>
        <w:t xml:space="preserve">Ne pas respirer les poussières/fumées/gaz/brouillards/vapeurs/ aérosols.</w:t>
      </w:r>
    </w:p>
    <w:p>
      <w:pPr>
        <w:numPr>
          <w:ilvl w:val="0"/>
          <w:numId w:val="1004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4"/>
        </w:numPr>
      </w:pPr>
      <w:r>
        <w:t xml:space="preserve">P301+P330+P331</w:t>
      </w:r>
      <w:r>
        <w:t xml:space="preserve"> </w:t>
      </w:r>
      <w:r>
        <w:t xml:space="preserve">EN CAS D’INGESTION: rincer la bouche. NE PAS faire vomir.</w:t>
      </w:r>
    </w:p>
    <w:p>
      <w:pPr>
        <w:numPr>
          <w:ilvl w:val="0"/>
          <w:numId w:val="1004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4"/>
        </w:numPr>
      </w:pPr>
      <w:r>
        <w:t xml:space="preserve">P501</w:t>
      </w:r>
      <w:r>
        <w:t xml:space="preserve"> </w:t>
      </w:r>
      <w:r>
        <w:t xml:space="preserve">Éliminer le contenu/récipient dans …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8</w:t>
      </w:r>
    </w:p>
    <w:p>
      <w:pPr>
        <w:pStyle w:val="Compact"/>
        <w:numPr>
          <w:ilvl w:val="0"/>
          <w:numId w:val="1005"/>
        </w:numPr>
      </w:pPr>
      <w:r>
        <w:t xml:space="preserve">RID : 8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8</w:t>
      </w:r>
    </w:p>
    <w:p>
      <w:pPr>
        <w:pStyle w:val="Compact"/>
        <w:numPr>
          <w:ilvl w:val="0"/>
          <w:numId w:val="1005"/>
        </w:numPr>
      </w:pPr>
      <w:r>
        <w:t xml:space="preserve">IATA : 8</w:t>
      </w:r>
    </w:p>
    <w:p>
      <w:pPr>
        <w:pStyle w:val="Compact"/>
        <w:numPr>
          <w:ilvl w:val="0"/>
          <w:numId w:val="1005"/>
        </w:numPr>
      </w:pPr>
      <w:r>
        <w:t xml:space="preserve">UN : UN1789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les vêtements contaminés.</w:t>
      </w:r>
      <w:r>
        <w:t xml:space="preserve"> </w:t>
      </w:r>
      <w:r>
        <w:t xml:space="preserve">Laver abondamment la zone touchée à l’eau et au savon.</w:t>
      </w:r>
    </w:p>
    <w:p>
      <w:pPr>
        <w:pStyle w:val="BodyText"/>
      </w:pPr>
      <w:r>
        <w:t xml:space="preserve">eyes : Laver immédiatement les yeux à grande eau pendant au moins 15 minutes.</w:t>
      </w:r>
      <w:r>
        <w:t xml:space="preserve"> </w:t>
      </w:r>
      <w:r>
        <w:t xml:space="preserve">Si la personne porte des lentilles de contact, les enlever autant que possible.</w:t>
      </w:r>
      <w:r>
        <w:t xml:space="preserve"> </w:t>
      </w:r>
      <w:r>
        <w:t xml:space="preserve">Continuer à rincer les yeux.</w:t>
      </w:r>
      <w:r>
        <w:t xml:space="preserve"> </w:t>
      </w:r>
      <w:r>
        <w:t xml:space="preserve">Consulter un médecin si une irritation se développe et persiste.</w:t>
      </w:r>
    </w:p>
    <w:p>
      <w:pPr>
        <w:pStyle w:val="BodyText"/>
      </w:pPr>
      <w:r>
        <w:t xml:space="preserve">ingestion : En cas d’ingestion en grande quantité, appeler immédiatement un centre antipoison.</w:t>
      </w:r>
    </w:p>
    <w:p>
      <w:pPr>
        <w:pStyle w:val="BodyText"/>
      </w:pPr>
      <w:r>
        <w:t xml:space="preserve">inhalation : Si la respiration est difficile, sortir la victime à l’air frais et la maintenir au repos dans une position où elle peut respirer confortablement.</w:t>
      </w:r>
    </w:p>
    <w:p>
      <w:r>
        <w:br w:type="page"/>
      </w:r>
    </w:p>
    <w:bookmarkEnd w:id="34"/>
    <w:bookmarkStart w:id="35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5"/>
    <w:bookmarkStart w:id="36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gants de protection en nitrile. (Aucune information supplémentaire sur l’épaisseur ou la résistance à la perforation n’est fournie.)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Porter des lunettes de sécurité à écrans latéraux.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port d’un masque facial est conseillé. (Aucune mention de type de filtre ou de classe de protection.)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vêtement de protection approprié (la description précise du type ou de la combinaison n’est pas détaillée dans le texte).</w:t>
            </w:r>
          </w:p>
        </w:tc>
      </w:tr>
    </w:tbl>
    <w:bookmarkEnd w:id="36"/>
    <w:bookmarkStart w:id="37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Suivre les règles de bonnes pratiques chimiques.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dans un récipient fermé de manière étanche et conserver à l’écart des matières incompatibles (voir la Section 10 de la FDS). Les incompatibilités potentielles incluent les agents oxydants forts.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Dispositif médical de diagnostic in vitro.</w:t>
            </w:r>
          </w:p>
        </w:tc>
      </w:tr>
    </w:tbl>
    <w:bookmarkEnd w:id="37"/>
    <w:bookmarkEnd w:id="38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2026-07-06T11:22:15Z</dcterms:created>
  <dcterms:modified xsi:type="dcterms:W3CDTF">2026-07-06T11:22:15Z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