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kovacsbiorad</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Bio‑Rad Laboratories Inc.</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2026-07-06</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0.7.1</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kovacsbiorad</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68" w:name="analyse-des-dangers-kovacsbiorad"/>
    <w:p>
      <w:pPr>
        <w:pStyle w:val="Heading1"/>
      </w:pPr>
      <w:r>
        <w:t xml:space="preserve">Analyse des dangers : kovacsbiorad</w:t>
      </w:r>
    </w:p>
    <w:p>
      <w:pPr>
        <w:pStyle w:val="FirstParagraph"/>
      </w:pPr>
      <w:r>
        <w:t xml:space="preserve">Dans la suite, nous détaillons les dangers associés au produit</w:t>
      </w:r>
      <w:r>
        <w:t xml:space="preserve"> </w:t>
      </w:r>
      <w:r>
        <w:rPr>
          <w:b/>
          <w:bCs/>
        </w:rPr>
        <w:t xml:space="preserve">kovacsbiorad</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Bio‑Rad Laboratories Inc.</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non visqueux, non poudreux</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Non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Réservé aux utilisateurs professionnels ; réactif ou composant de laboratoire in vitro.</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2024-10-15</w:t>
            </w:r>
          </w:p>
        </w:tc>
      </w:tr>
    </w:tbl>
    <w:p>
      <w:pPr>
        <w:pStyle w:val="BodyText"/>
      </w:pPr>
      <w:r>
        <w:t xml:space="preserve"> </w:t>
      </w:r>
      <w:r>
        <w:t xml:space="preserve">La FDS date du 2024-10-15. Elle a donc 1 an(s).</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a identifié les erreurs de classification potentielles suivantes dans la FDS :</w:t>
      </w:r>
    </w:p>
    <w:p>
      <w:pPr>
        <w:pStyle w:val="Compact"/>
        <w:numPr>
          <w:ilvl w:val="0"/>
          <w:numId w:val="1003"/>
        </w:numPr>
      </w:pPr>
      <w:r>
        <w:t xml:space="preserve">La substance Acide chlorhydrique devrait être classée H331 selon les dernières classifications harmonisées publiées par l’ECHA.</w:t>
      </w:r>
    </w:p>
    <w:bookmarkEnd w:id="28"/>
    <w:bookmarkEnd w:id="29"/>
    <w:bookmarkStart w:id="39"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Attention</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Inflammable" title="" id="31" name="Picture"/>
            <a:graphic>
              <a:graphicData uri="http://schemas.openxmlformats.org/drawingml/2006/picture">
                <pic:pic>
                  <pic:nvPicPr>
                    <pic:cNvPr descr="templates/SGH02.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Inflammable</w:t>
      </w:r>
    </w:p>
    <w:p>
      <w:pPr>
        <w:pStyle w:val="BodyText"/>
      </w:pPr>
      <w:r>
        <w:drawing>
          <wp:inline>
            <wp:extent cx="719999" cy="719999"/>
            <wp:effectExtent b="0" l="0" r="0" t="0"/>
            <wp:docPr descr="Corrosif" title="" id="34" name="Picture"/>
            <a:graphic>
              <a:graphicData uri="http://schemas.openxmlformats.org/drawingml/2006/picture">
                <pic:pic>
                  <pic:nvPicPr>
                    <pic:cNvPr descr="templates/SGH05.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Corrosif</w:t>
      </w:r>
    </w:p>
    <w:p>
      <w:pPr>
        <w:pStyle w:val="BodyText"/>
      </w:pPr>
      <w:r>
        <w:drawing>
          <wp:inline>
            <wp:extent cx="719999" cy="719999"/>
            <wp:effectExtent b="0" l="0" r="0" t="0"/>
            <wp:docPr descr="Nocif / Irritant" title="" id="37" name="Picture"/>
            <a:graphic>
              <a:graphicData uri="http://schemas.openxmlformats.org/drawingml/2006/picture">
                <pic:pic>
                  <pic:nvPicPr>
                    <pic:cNvPr descr="templates/SGH07.png" id="38" name="Picture"/>
                    <pic:cNvPicPr>
                      <a:picLocks noChangeArrowheads="1" noChangeAspect="1"/>
                    </pic:cNvPicPr>
                  </pic:nvPicPr>
                  <pic:blipFill>
                    <a:blip r:embed="rId36"/>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p>
    <w:p>
      <w:pPr>
        <w:pStyle w:val="BodyText"/>
      </w:pPr>
      <w:r>
        <w:rPr>
          <w:b/>
          <w:bCs/>
        </w:rPr>
        <w:t xml:space="preserve">Mentions de danger</w:t>
      </w:r>
      <w:r>
        <w:t xml:space="preserve"> </w:t>
      </w:r>
      <w:r>
        <w:t xml:space="preserve">:</w:t>
      </w:r>
    </w:p>
    <w:p>
      <w:pPr>
        <w:numPr>
          <w:ilvl w:val="0"/>
          <w:numId w:val="1004"/>
        </w:numPr>
      </w:pPr>
      <w:r>
        <w:t xml:space="preserve">H226</w:t>
      </w:r>
      <w:r>
        <w:t xml:space="preserve"> </w:t>
      </w:r>
      <w:r>
        <w:t xml:space="preserve">Liquide et vapeurs inflammables.</w:t>
      </w:r>
    </w:p>
    <w:p>
      <w:pPr>
        <w:numPr>
          <w:ilvl w:val="0"/>
          <w:numId w:val="1004"/>
        </w:numPr>
      </w:pPr>
      <w:r>
        <w:t xml:space="preserve">H314</w:t>
      </w:r>
      <w:r>
        <w:t xml:space="preserve"> </w:t>
      </w:r>
      <w:r>
        <w:t xml:space="preserve">Provoque des brûlures de la peau et des lésions oculaires graves.</w:t>
      </w:r>
    </w:p>
    <w:p>
      <w:pPr>
        <w:numPr>
          <w:ilvl w:val="0"/>
          <w:numId w:val="1004"/>
        </w:numPr>
      </w:pPr>
      <w:r>
        <w:t xml:space="preserve">H318</w:t>
      </w:r>
      <w:r>
        <w:t xml:space="preserve"> </w:t>
      </w:r>
      <w:r>
        <w:t xml:space="preserve">Provoque des lésions oculaires graves.</w:t>
      </w:r>
    </w:p>
    <w:p>
      <w:pPr>
        <w:numPr>
          <w:ilvl w:val="0"/>
          <w:numId w:val="1004"/>
        </w:numPr>
      </w:pPr>
      <w:r>
        <w:t xml:space="preserve">H332</w:t>
      </w:r>
      <w:r>
        <w:t xml:space="preserve"> </w:t>
      </w:r>
      <w:r>
        <w:t xml:space="preserve">Nocif par inhalation.</w:t>
      </w:r>
    </w:p>
    <w:p>
      <w:pPr>
        <w:pStyle w:val="FirstParagraph"/>
      </w:pPr>
      <w:r>
        <w:rPr>
          <w:b/>
          <w:bCs/>
        </w:rPr>
        <w:t xml:space="preserve">Conseils de prudence</w:t>
      </w:r>
      <w:r>
        <w:t xml:space="preserve"> </w:t>
      </w:r>
      <w:r>
        <w:t xml:space="preserve">:</w:t>
      </w:r>
    </w:p>
    <w:p>
      <w:pPr>
        <w:numPr>
          <w:ilvl w:val="0"/>
          <w:numId w:val="1005"/>
        </w:numPr>
      </w:pPr>
      <w:r>
        <w:t xml:space="preserve">P210</w:t>
      </w:r>
      <w:r>
        <w:t xml:space="preserve"> </w:t>
      </w:r>
      <w:r>
        <w:t xml:space="preserve">P210</w:t>
      </w:r>
    </w:p>
    <w:p>
      <w:pPr>
        <w:numPr>
          <w:ilvl w:val="0"/>
          <w:numId w:val="1005"/>
        </w:numPr>
      </w:pPr>
      <w:r>
        <w:t xml:space="preserve">P260</w:t>
      </w:r>
      <w:r>
        <w:t xml:space="preserve"> </w:t>
      </w:r>
      <w:r>
        <w:t xml:space="preserve">Ne pas respirer les poussières/fumées/gaz/brouillards/vapeurs/ aérosols.</w:t>
      </w:r>
    </w:p>
    <w:p>
      <w:pPr>
        <w:numPr>
          <w:ilvl w:val="0"/>
          <w:numId w:val="1005"/>
        </w:numPr>
      </w:pPr>
      <w:r>
        <w:t xml:space="preserve">P303+P361+P353</w:t>
      </w:r>
      <w:r>
        <w:t xml:space="preserve"> </w:t>
      </w:r>
      <w:r>
        <w:t xml:space="preserve">EN CAS DE CONTACT AVEC LA PEAU (ou les cheveux):</w:t>
      </w:r>
    </w:p>
    <w:p>
      <w:pPr>
        <w:numPr>
          <w:ilvl w:val="0"/>
          <w:numId w:val="1005"/>
        </w:numPr>
      </w:pPr>
      <w:r>
        <w:t xml:space="preserve">P305+P351+P338</w:t>
      </w:r>
      <w:r>
        <w:t xml:space="preserve"> </w:t>
      </w:r>
      <w:r>
        <w:t xml:space="preserve">EN CAS DE CONTACT AVEC LES YEUX: rincer avec précaution à l’eau pendant plusieurs minutes. Enlever les lentilles de contact si la victime en porte et si elles peuvent être facilement enlevées. Continuer à rincer.</w:t>
      </w:r>
    </w:p>
    <w:p>
      <w:pPr>
        <w:numPr>
          <w:ilvl w:val="0"/>
          <w:numId w:val="1005"/>
        </w:numPr>
      </w:pPr>
      <w:r>
        <w:t xml:space="preserve">P310</w:t>
      </w:r>
      <w:r>
        <w:t xml:space="preserve"> </w:t>
      </w:r>
      <w:r>
        <w:t xml:space="preserve">P310</w:t>
      </w:r>
    </w:p>
    <w:p>
      <w:pPr>
        <w:numPr>
          <w:ilvl w:val="0"/>
          <w:numId w:val="1005"/>
        </w:numPr>
      </w:pPr>
      <w:r>
        <w:t xml:space="preserve">P321</w:t>
      </w:r>
      <w:r>
        <w:t xml:space="preserve"> </w:t>
      </w:r>
      <w:r>
        <w:t xml:space="preserve">Traitement spécifique (voir … sur cette étiquette).</w:t>
      </w:r>
    </w:p>
    <w:p>
      <w:pPr>
        <w:numPr>
          <w:ilvl w:val="0"/>
          <w:numId w:val="1005"/>
        </w:numPr>
      </w:pPr>
      <w:r>
        <w:t xml:space="preserve">P370+P378</w:t>
      </w:r>
      <w:r>
        <w:t xml:space="preserve"> </w:t>
      </w:r>
      <w:r>
        <w:t xml:space="preserve">En cas d’incendie:</w:t>
      </w:r>
    </w:p>
    <w:p>
      <w:pPr>
        <w:pStyle w:val="FirstParagraph"/>
      </w:pPr>
      <w:r>
        <w:rPr>
          <w:b/>
          <w:bCs/>
        </w:rPr>
        <w:t xml:space="preserve">Transport</w:t>
      </w:r>
      <w:r>
        <w:t xml:space="preserve"> </w:t>
      </w:r>
      <w:r>
        <w:t xml:space="preserve">:</w:t>
      </w:r>
    </w:p>
    <w:p>
      <w:pPr>
        <w:pStyle w:val="Compact"/>
        <w:numPr>
          <w:ilvl w:val="0"/>
          <w:numId w:val="1006"/>
        </w:numPr>
      </w:pPr>
      <w:r>
        <w:t xml:space="preserve">ADR : pas disponible</w:t>
      </w:r>
    </w:p>
    <w:p>
      <w:pPr>
        <w:pStyle w:val="Compact"/>
        <w:numPr>
          <w:ilvl w:val="0"/>
          <w:numId w:val="1006"/>
        </w:numPr>
      </w:pPr>
      <w:r>
        <w:t xml:space="preserve">RID : pas disponible</w:t>
      </w:r>
    </w:p>
    <w:p>
      <w:pPr>
        <w:pStyle w:val="Compact"/>
        <w:numPr>
          <w:ilvl w:val="0"/>
          <w:numId w:val="1006"/>
        </w:numPr>
      </w:pPr>
      <w:r>
        <w:t xml:space="preserve">ADN : pas disponible</w:t>
      </w:r>
    </w:p>
    <w:p>
      <w:pPr>
        <w:pStyle w:val="Compact"/>
        <w:numPr>
          <w:ilvl w:val="0"/>
          <w:numId w:val="1006"/>
        </w:numPr>
      </w:pPr>
      <w:r>
        <w:t xml:space="preserve">IMDG : pas disponible</w:t>
      </w:r>
    </w:p>
    <w:p>
      <w:pPr>
        <w:pStyle w:val="Compact"/>
        <w:numPr>
          <w:ilvl w:val="0"/>
          <w:numId w:val="1006"/>
        </w:numPr>
      </w:pPr>
      <w:r>
        <w:t xml:space="preserve">IATA : pas disponible</w:t>
      </w:r>
    </w:p>
    <w:p>
      <w:pPr>
        <w:pStyle w:val="Compact"/>
        <w:numPr>
          <w:ilvl w:val="0"/>
          <w:numId w:val="1006"/>
        </w:numPr>
      </w:pPr>
      <w:r>
        <w:t xml:space="preserve">UN : pas disponible</w:t>
      </w:r>
    </w:p>
    <w:bookmarkEnd w:id="39"/>
    <w:bookmarkStart w:id="40" w:name="Xda6f178de632779b007ca26fa4959a763d2c7f4"/>
    <w:p>
      <w:pPr>
        <w:pStyle w:val="Heading2"/>
      </w:pPr>
      <w:r>
        <w:t xml:space="preserve">Dangers et/ou mesures par voie d’exposition</w:t>
      </w:r>
    </w:p>
    <w:p>
      <w:pPr>
        <w:pStyle w:val="FirstParagraph"/>
      </w:pPr>
      <w:r>
        <w:t xml:space="preserve">skin : • Enlever immédiatement tous les vêtements contaminés (P303 + P361 + P353).</w:t>
      </w:r>
      <w:r>
        <w:t xml:space="preserve"> </w:t>
      </w:r>
      <w:r>
        <w:t xml:space="preserve">• Rincer abondamment la peau à l’eau courante ou se doucher.</w:t>
      </w:r>
    </w:p>
    <w:p>
      <w:pPr>
        <w:pStyle w:val="BodyText"/>
      </w:pPr>
      <w:r>
        <w:t xml:space="preserve">eyes : • Rincer les yeux avec précaution à l’eau pendant plusieurs minutes (P305 + P351 + P338).</w:t>
      </w:r>
      <w:r>
        <w:t xml:space="preserve"> </w:t>
      </w:r>
      <w:r>
        <w:t xml:space="preserve">• Enlever les lentilles de contact si la victime en porte et si elles peuvent être facilement retirées.</w:t>
      </w:r>
    </w:p>
    <w:p>
      <w:pPr>
        <w:pStyle w:val="BodyText"/>
      </w:pPr>
      <w:r>
        <w:t xml:space="preserve">ingestion : - Aucune information spécifique n’est fournie dans le document.</w:t>
      </w:r>
    </w:p>
    <w:p>
      <w:pPr>
        <w:pStyle w:val="BodyText"/>
      </w:pPr>
      <w:r>
        <w:t xml:space="preserve">inhalation : • Ne pas respirer les poussières, fumées, gaz, brouillards, vapeurs et aérosols (P260).</w:t>
      </w:r>
      <w:r>
        <w:t xml:space="preserve"> </w:t>
      </w:r>
      <w:r>
        <w:t xml:space="preserve">• En cas d’inhalation, déplacer la personne vers un endroit aéré et, si nécessaire, appeler immédiatement un centre antipoison ou un médecin (P310).</w:t>
      </w:r>
    </w:p>
    <w:p>
      <w:r>
        <w:br w:type="page"/>
      </w:r>
    </w:p>
    <w:bookmarkEnd w:id="40"/>
    <w:bookmarkStart w:id="65" w:name="Xd3fd47f9279b52cc9d4b00e07bdfde0bea6594f"/>
    <w:p>
      <w:pPr>
        <w:pStyle w:val="Heading2"/>
      </w:pPr>
      <w:r>
        <w:t xml:space="preserve">Informations relatives aux substances dangereuses présentes</w:t>
      </w:r>
    </w:p>
    <w:bookmarkStart w:id="51" w:name="alcool-isoamylique"/>
    <w:p>
      <w:pPr>
        <w:pStyle w:val="Heading3"/>
      </w:pPr>
      <w:r>
        <w:t xml:space="preserve">Alcool isoamylique</w:t>
      </w:r>
    </w:p>
    <w:p>
      <w:pPr>
        <w:pStyle w:val="FirstParagraph"/>
      </w:pPr>
      <w:r>
        <w:rPr>
          <w:b/>
          <w:bCs/>
        </w:rPr>
        <w:t xml:space="preserve">Identification</w:t>
      </w:r>
    </w:p>
    <w:p>
      <w:pPr>
        <w:pStyle w:val="Compact"/>
        <w:numPr>
          <w:ilvl w:val="0"/>
          <w:numId w:val="1007"/>
        </w:numPr>
      </w:pPr>
      <w:r>
        <w:t xml:space="preserve">N° CAS : 123-51-3</w:t>
      </w:r>
    </w:p>
    <w:p>
      <w:pPr>
        <w:pStyle w:val="Compact"/>
        <w:numPr>
          <w:ilvl w:val="0"/>
          <w:numId w:val="1007"/>
        </w:numPr>
      </w:pPr>
      <w:r>
        <w:t xml:space="preserve">N° EINECS : None</w:t>
      </w:r>
    </w:p>
    <w:p>
      <w:pPr>
        <w:pStyle w:val="FirstParagraph"/>
      </w:pPr>
      <w:r>
        <w:rPr>
          <w:b/>
          <w:bCs/>
        </w:rPr>
        <w:t xml:space="preserve">Concentration</w:t>
      </w:r>
      <w:r>
        <w:t xml:space="preserve"> </w:t>
      </w:r>
      <w:r>
        <w:t xml:space="preserve">:from 50.0 to 100.0</w:t>
      </w:r>
    </w:p>
    <w:p>
      <w:pPr>
        <w:pStyle w:val="BodyText"/>
      </w:pPr>
      <w:r>
        <w:rPr>
          <w:b/>
          <w:bCs/>
        </w:rPr>
        <w:t xml:space="preserve">Dangers</w:t>
      </w:r>
      <w:r>
        <w:t xml:space="preserve"> </w:t>
      </w:r>
      <w:r>
        <w:t xml:space="preserve">:</w:t>
      </w:r>
    </w:p>
    <w:p>
      <w:pPr>
        <w:numPr>
          <w:ilvl w:val="0"/>
          <w:numId w:val="1008"/>
        </w:numPr>
      </w:pPr>
      <w:r>
        <w:t xml:space="preserve">H226</w:t>
      </w:r>
      <w:r>
        <w:t xml:space="preserve"> </w:t>
      </w:r>
      <w:r>
        <w:t xml:space="preserve">Liquide et vapeurs inflammables.</w:t>
      </w:r>
    </w:p>
    <w:p>
      <w:pPr>
        <w:numPr>
          <w:ilvl w:val="0"/>
          <w:numId w:val="1008"/>
        </w:numPr>
      </w:pPr>
      <w:r>
        <w:t xml:space="preserve">H302</w:t>
      </w:r>
      <w:r>
        <w:t xml:space="preserve"> </w:t>
      </w:r>
      <w:r>
        <w:t xml:space="preserve">Nocif en cas d’ingestion.</w:t>
      </w:r>
    </w:p>
    <w:p>
      <w:pPr>
        <w:numPr>
          <w:ilvl w:val="0"/>
          <w:numId w:val="1008"/>
        </w:numPr>
      </w:pPr>
      <w:r>
        <w:t xml:space="preserve">H315</w:t>
      </w:r>
      <w:r>
        <w:t xml:space="preserve"> </w:t>
      </w:r>
      <w:r>
        <w:t xml:space="preserve">Provoque une irritation cutanée.</w:t>
      </w:r>
    </w:p>
    <w:p>
      <w:pPr>
        <w:numPr>
          <w:ilvl w:val="0"/>
          <w:numId w:val="1008"/>
        </w:numPr>
      </w:pPr>
      <w:r>
        <w:t xml:space="preserve">H318</w:t>
      </w:r>
      <w:r>
        <w:t xml:space="preserve"> </w:t>
      </w:r>
      <w:r>
        <w:t xml:space="preserve">Provoque des lésions oculaires graves.</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5.0 - VLE-8h (mg/m³) : 18.0 - VLE-15min (ppm) : 10.0 - VLE-15min (mg/m³) : 37.0</w:t>
            </w:r>
          </w:p>
        </w:tc>
      </w:tr>
    </w:tbl>
    <w:bookmarkStart w:id="50" w:name="propriétés"/>
    <w:p>
      <w:pPr>
        <w:pStyle w:val="Heading4"/>
      </w:pPr>
      <w:r>
        <w:t xml:space="preserve">Propriétés</w:t>
      </w:r>
    </w:p>
    <w:p>
      <w:pPr>
        <w:pStyle w:val="FirstParagraph"/>
      </w:pPr>
      <w:hyperlink r:id="rId41">
        <w:r>
          <w:rPr>
            <w:rStyle w:val="Hyperlink"/>
            <w:color w:val="0856A0"/>
            <w:u w:val="single"/>
          </w:rPr>
          <w:t xml:space="preserve">FICHEMars 2022Fiche n°206 - PentanolsFiche présentant l’essentiel des données d’hygiène et de sécurité relatives à« Pentanols »avec un rappel de la réglementation française et des recommandations techniques et médicales.En savoir plus</w:t>
        </w:r>
      </w:hyperlink>
    </w:p>
    <w:p>
      <w:pPr>
        <w:numPr>
          <w:ilvl w:val="0"/>
          <w:numId w:val="1009"/>
        </w:numPr>
      </w:pPr>
      <w:hyperlink r:id="rId42">
        <w:r>
          <w:rPr>
            <w:rStyle w:val="Hyperlink"/>
            <w:color w:val="0856A0"/>
            <w:u w:val="single"/>
          </w:rPr>
          <w:t xml:space="preserve">Généralités</w:t>
        </w:r>
      </w:hyperlink>
    </w:p>
    <w:p>
      <w:pPr>
        <w:numPr>
          <w:ilvl w:val="0"/>
          <w:numId w:val="1009"/>
        </w:numPr>
      </w:pPr>
      <w:hyperlink r:id="rId43">
        <w:r>
          <w:rPr>
            <w:rStyle w:val="Hyperlink"/>
            <w:color w:val="0856A0"/>
            <w:u w:val="single"/>
          </w:rPr>
          <w:t xml:space="preserve">Caractéristiques</w:t>
        </w:r>
      </w:hyperlink>
    </w:p>
    <w:p>
      <w:pPr>
        <w:numPr>
          <w:ilvl w:val="0"/>
          <w:numId w:val="1009"/>
        </w:numPr>
      </w:pPr>
      <w:hyperlink r:id="rId44">
        <w:r>
          <w:rPr>
            <w:rStyle w:val="Hyperlink"/>
            <w:color w:val="0856A0"/>
            <w:u w:val="single"/>
          </w:rPr>
          <w:t xml:space="preserve">VLEPMesurage</w:t>
        </w:r>
      </w:hyperlink>
    </w:p>
    <w:p>
      <w:pPr>
        <w:numPr>
          <w:ilvl w:val="0"/>
          <w:numId w:val="1009"/>
        </w:numPr>
      </w:pPr>
      <w:hyperlink r:id="rId45">
        <w:r>
          <w:rPr>
            <w:rStyle w:val="Hyperlink"/>
            <w:color w:val="0856A0"/>
            <w:u w:val="single"/>
          </w:rPr>
          <w:t xml:space="preserve">Incendie - Explosion[5]</w:t>
        </w:r>
      </w:hyperlink>
    </w:p>
    <w:p>
      <w:pPr>
        <w:numPr>
          <w:ilvl w:val="0"/>
          <w:numId w:val="1009"/>
        </w:numPr>
      </w:pPr>
      <w:hyperlink r:id="rId46">
        <w:r>
          <w:rPr>
            <w:rStyle w:val="Hyperlink"/>
            <w:color w:val="0856A0"/>
            <w:u w:val="single"/>
          </w:rPr>
          <w:t xml:space="preserve">Pathologie - Toxicologie</w:t>
        </w:r>
      </w:hyperlink>
    </w:p>
    <w:p>
      <w:pPr>
        <w:numPr>
          <w:ilvl w:val="0"/>
          <w:numId w:val="1009"/>
        </w:numPr>
      </w:pPr>
      <w:hyperlink r:id="rId47">
        <w:r>
          <w:rPr>
            <w:rStyle w:val="Hyperlink"/>
            <w:color w:val="0856A0"/>
            <w:u w:val="single"/>
          </w:rPr>
          <w:t xml:space="preserve">Règlementation</w:t>
        </w:r>
      </w:hyperlink>
    </w:p>
    <w:p>
      <w:pPr>
        <w:numPr>
          <w:ilvl w:val="0"/>
          <w:numId w:val="1009"/>
        </w:numPr>
      </w:pPr>
      <w:hyperlink r:id="rId48">
        <w:r>
          <w:rPr>
            <w:rStyle w:val="Hyperlink"/>
            <w:color w:val="0856A0"/>
            <w:u w:val="single"/>
          </w:rPr>
          <w:t xml:space="preserve">Recommandations</w:t>
        </w:r>
      </w:hyperlink>
    </w:p>
    <w:p>
      <w:pPr>
        <w:numPr>
          <w:ilvl w:val="0"/>
          <w:numId w:val="1009"/>
        </w:numPr>
      </w:pPr>
      <w:hyperlink r:id="rId49">
        <w:r>
          <w:rPr>
            <w:rStyle w:val="Hyperlink"/>
            <w:color w:val="0856A0"/>
            <w:u w:val="single"/>
          </w:rPr>
          <w:t xml:space="preserve">Bibliographie</w:t>
        </w:r>
      </w:hyperlink>
    </w:p>
    <w:bookmarkEnd w:id="50"/>
    <w:bookmarkEnd w:id="51"/>
    <w:bookmarkStart w:id="62" w:name="acide-chlorhydrique"/>
    <w:p>
      <w:pPr>
        <w:pStyle w:val="Heading3"/>
      </w:pPr>
      <w:r>
        <w:t xml:space="preserve">Acide chlorhydrique</w:t>
      </w:r>
    </w:p>
    <w:p>
      <w:pPr>
        <w:pStyle w:val="FirstParagraph"/>
      </w:pPr>
      <w:r>
        <w:rPr>
          <w:b/>
          <w:bCs/>
        </w:rPr>
        <w:t xml:space="preserve">Identification</w:t>
      </w:r>
    </w:p>
    <w:p>
      <w:pPr>
        <w:pStyle w:val="Compact"/>
        <w:numPr>
          <w:ilvl w:val="0"/>
          <w:numId w:val="1010"/>
        </w:numPr>
      </w:pPr>
      <w:r>
        <w:t xml:space="preserve">N° CAS : 7647-01-0</w:t>
      </w:r>
    </w:p>
    <w:p>
      <w:pPr>
        <w:pStyle w:val="Compact"/>
        <w:numPr>
          <w:ilvl w:val="0"/>
          <w:numId w:val="1010"/>
        </w:numPr>
      </w:pPr>
      <w:r>
        <w:t xml:space="preserve">N° EINECS : None</w:t>
      </w:r>
    </w:p>
    <w:p>
      <w:pPr>
        <w:pStyle w:val="FirstParagraph"/>
      </w:pPr>
      <w:r>
        <w:rPr>
          <w:b/>
          <w:bCs/>
        </w:rPr>
        <w:t xml:space="preserve">Concentration</w:t>
      </w:r>
      <w:r>
        <w:t xml:space="preserve"> </w:t>
      </w:r>
      <w:r>
        <w:t xml:space="preserve">:from 1.0 to 3.0</w:t>
      </w:r>
    </w:p>
    <w:p>
      <w:pPr>
        <w:pStyle w:val="BodyText"/>
      </w:pPr>
      <w:r>
        <w:rPr>
          <w:b/>
          <w:bCs/>
        </w:rPr>
        <w:t xml:space="preserve">Dangers</w:t>
      </w:r>
      <w:r>
        <w:t xml:space="preserve"> </w:t>
      </w:r>
      <w:r>
        <w:t xml:space="preserve">:</w:t>
      </w:r>
    </w:p>
    <w:p>
      <w:pPr>
        <w:numPr>
          <w:ilvl w:val="0"/>
          <w:numId w:val="1011"/>
        </w:numPr>
      </w:pPr>
      <w:r>
        <w:t xml:space="preserve">H314</w:t>
      </w:r>
      <w:r>
        <w:t xml:space="preserve"> </w:t>
      </w:r>
      <w:r>
        <w:t xml:space="preserve">Provoque des brûlures de la peau et des lésions oculaires graves.</w:t>
      </w:r>
    </w:p>
    <w:p>
      <w:pPr>
        <w:numPr>
          <w:ilvl w:val="0"/>
          <w:numId w:val="1011"/>
        </w:numPr>
      </w:pPr>
      <w:r>
        <w:t xml:space="preserve">H319</w:t>
      </w:r>
      <w:r>
        <w:t xml:space="preserve"> </w:t>
      </w:r>
      <w:r>
        <w:t xml:space="preserve">Provoque une sévère irritation des yeux.</w:t>
      </w:r>
    </w:p>
    <w:p>
      <w:pPr>
        <w:numPr>
          <w:ilvl w:val="0"/>
          <w:numId w:val="1011"/>
        </w:numPr>
      </w:pPr>
      <w:r>
        <w:t xml:space="preserve">H331</w:t>
      </w:r>
      <w:r>
        <w:t xml:space="preserve"> </w:t>
      </w:r>
      <w:r>
        <w:t xml:space="preserve">Toxique par inhalation.</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VLE-8h (ppm) : 5.0 - VLE-8h (mg/m³) : 8.0 - VLE-15min (ppm) : 10.0 - VLE-15min (mg/m³) : 15.0</w:t>
            </w:r>
          </w:p>
        </w:tc>
      </w:tr>
    </w:tbl>
    <w:bookmarkStart w:id="61" w:name="propriétés-1"/>
    <w:p>
      <w:pPr>
        <w:pStyle w:val="Heading4"/>
      </w:pPr>
      <w:r>
        <w:t xml:space="preserve">Propriétés</w:t>
      </w:r>
    </w:p>
    <w:p>
      <w:pPr>
        <w:pStyle w:val="FirstParagraph"/>
      </w:pPr>
      <w:hyperlink r:id="rId52">
        <w:r>
          <w:rPr>
            <w:rStyle w:val="Hyperlink"/>
            <w:color w:val="0856A0"/>
            <w:u w:val="single"/>
          </w:rPr>
          <w:t xml:space="preserve">FICHEFévrier 2019Fiche n°13 - Chlorure d’hydrogène (ou acide chlorhydrique) et solutions aqueusesFiche présentant l’essentiel des données d’hygiène et de sécurité relatives à« Chlorure d’hydrogène (ou acide chlorhydrique) et solutions aqueuses »avec un rappel de la réglementation française et des recommandations techniques et médicales.En savoir plus</w:t>
        </w:r>
      </w:hyperlink>
    </w:p>
    <w:p>
      <w:pPr>
        <w:numPr>
          <w:ilvl w:val="0"/>
          <w:numId w:val="1012"/>
        </w:numPr>
      </w:pPr>
      <w:hyperlink r:id="rId53">
        <w:r>
          <w:rPr>
            <w:rStyle w:val="Hyperlink"/>
            <w:color w:val="0856A0"/>
            <w:u w:val="single"/>
          </w:rPr>
          <w:t xml:space="preserve">Généralités</w:t>
        </w:r>
      </w:hyperlink>
    </w:p>
    <w:p>
      <w:pPr>
        <w:numPr>
          <w:ilvl w:val="0"/>
          <w:numId w:val="1012"/>
        </w:numPr>
      </w:pPr>
      <w:hyperlink r:id="rId54">
        <w:r>
          <w:rPr>
            <w:rStyle w:val="Hyperlink"/>
            <w:color w:val="0856A0"/>
            <w:u w:val="single"/>
          </w:rPr>
          <w:t xml:space="preserve">Caractéristiques</w:t>
        </w:r>
      </w:hyperlink>
    </w:p>
    <w:p>
      <w:pPr>
        <w:numPr>
          <w:ilvl w:val="0"/>
          <w:numId w:val="1012"/>
        </w:numPr>
      </w:pPr>
      <w:hyperlink r:id="rId55">
        <w:r>
          <w:rPr>
            <w:rStyle w:val="Hyperlink"/>
            <w:color w:val="0856A0"/>
            <w:u w:val="single"/>
          </w:rPr>
          <w:t xml:space="preserve">VLEPMesurage</w:t>
        </w:r>
      </w:hyperlink>
    </w:p>
    <w:p>
      <w:pPr>
        <w:numPr>
          <w:ilvl w:val="0"/>
          <w:numId w:val="1012"/>
        </w:numPr>
      </w:pPr>
      <w:hyperlink r:id="rId56">
        <w:r>
          <w:rPr>
            <w:rStyle w:val="Hyperlink"/>
            <w:color w:val="0856A0"/>
            <w:u w:val="single"/>
          </w:rPr>
          <w:t xml:space="preserve">Incendie - Explosion[34-36]</w:t>
        </w:r>
      </w:hyperlink>
    </w:p>
    <w:p>
      <w:pPr>
        <w:numPr>
          <w:ilvl w:val="0"/>
          <w:numId w:val="1012"/>
        </w:numPr>
      </w:pPr>
      <w:hyperlink r:id="rId57">
        <w:r>
          <w:rPr>
            <w:rStyle w:val="Hyperlink"/>
            <w:color w:val="0856A0"/>
            <w:u w:val="single"/>
          </w:rPr>
          <w:t xml:space="preserve">Pathologie - Toxicologie</w:t>
        </w:r>
      </w:hyperlink>
    </w:p>
    <w:p>
      <w:pPr>
        <w:numPr>
          <w:ilvl w:val="0"/>
          <w:numId w:val="1012"/>
        </w:numPr>
      </w:pPr>
      <w:hyperlink r:id="rId58">
        <w:r>
          <w:rPr>
            <w:rStyle w:val="Hyperlink"/>
            <w:color w:val="0856A0"/>
            <w:u w:val="single"/>
          </w:rPr>
          <w:t xml:space="preserve">Règlementation</w:t>
        </w:r>
      </w:hyperlink>
    </w:p>
    <w:p>
      <w:pPr>
        <w:numPr>
          <w:ilvl w:val="0"/>
          <w:numId w:val="1012"/>
        </w:numPr>
      </w:pPr>
      <w:hyperlink r:id="rId59">
        <w:r>
          <w:rPr>
            <w:rStyle w:val="Hyperlink"/>
            <w:color w:val="0856A0"/>
            <w:u w:val="single"/>
          </w:rPr>
          <w:t xml:space="preserve">Recommandations</w:t>
        </w:r>
      </w:hyperlink>
    </w:p>
    <w:p>
      <w:pPr>
        <w:numPr>
          <w:ilvl w:val="0"/>
          <w:numId w:val="1012"/>
        </w:numPr>
      </w:pPr>
      <w:hyperlink r:id="rId60">
        <w:r>
          <w:rPr>
            <w:rStyle w:val="Hyperlink"/>
            <w:color w:val="0856A0"/>
            <w:u w:val="single"/>
          </w:rPr>
          <w:t xml:space="preserve">Bibliographie</w:t>
        </w:r>
      </w:hyperlink>
    </w:p>
    <w:bookmarkEnd w:id="61"/>
    <w:bookmarkEnd w:id="62"/>
    <w:bookmarkStart w:id="64" w:name="benzaldehyde-4-dimethylamino-"/>
    <w:p>
      <w:pPr>
        <w:pStyle w:val="Heading3"/>
      </w:pPr>
      <w:r>
        <w:t xml:space="preserve">Benzaldehyde, 4-(dimethylamino)-</w:t>
      </w:r>
    </w:p>
    <w:p>
      <w:pPr>
        <w:pStyle w:val="FirstParagraph"/>
      </w:pPr>
      <w:r>
        <w:rPr>
          <w:b/>
          <w:bCs/>
        </w:rPr>
        <w:t xml:space="preserve">Identification</w:t>
      </w:r>
    </w:p>
    <w:p>
      <w:pPr>
        <w:pStyle w:val="Compact"/>
        <w:numPr>
          <w:ilvl w:val="0"/>
          <w:numId w:val="1013"/>
        </w:numPr>
      </w:pPr>
      <w:r>
        <w:t xml:space="preserve">N° CAS : 100-10-7</w:t>
      </w:r>
    </w:p>
    <w:p>
      <w:pPr>
        <w:pStyle w:val="Compact"/>
        <w:numPr>
          <w:ilvl w:val="0"/>
          <w:numId w:val="1013"/>
        </w:numPr>
      </w:pPr>
      <w:r>
        <w:t xml:space="preserve">N° EINECS : None</w:t>
      </w:r>
    </w:p>
    <w:p>
      <w:pPr>
        <w:pStyle w:val="FirstParagraph"/>
      </w:pPr>
      <w:r>
        <w:rPr>
          <w:b/>
          <w:bCs/>
        </w:rPr>
        <w:t xml:space="preserve">Concentration</w:t>
      </w:r>
      <w:r>
        <w:t xml:space="preserve"> </w:t>
      </w:r>
      <w:r>
        <w:t xml:space="preserve">:from 5.0 to 10.0</w:t>
      </w:r>
    </w:p>
    <w:p>
      <w:pPr>
        <w:pStyle w:val="BodyText"/>
      </w:pPr>
      <w:r>
        <w:rPr>
          <w:b/>
          <w:bCs/>
        </w:rPr>
        <w:t xml:space="preserve">Dangers</w:t>
      </w:r>
      <w:r>
        <w:t xml:space="preserve"> </w:t>
      </w:r>
      <w:r>
        <w:t xml:space="preserve">:</w:t>
      </w:r>
    </w:p>
    <w:p>
      <w:pPr>
        <w:pStyle w:val="BodyText"/>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63" w:name="propriétés-2"/>
    <w:p>
      <w:pPr>
        <w:pStyle w:val="Heading4"/>
      </w:pPr>
      <w:r>
        <w:t xml:space="preserve">Propriétés</w:t>
      </w:r>
    </w:p>
    <w:p>
      <w:pPr>
        <w:pStyle w:val="FirstParagraph"/>
      </w:pPr>
      <w:r>
        <w:t xml:space="preserve">Pas d’informations disponible.</w:t>
      </w:r>
    </w:p>
    <w:bookmarkEnd w:id="63"/>
    <w:bookmarkEnd w:id="64"/>
    <w:bookmarkEnd w:id="65"/>
    <w:bookmarkStart w:id="66" w:name="X45ad37046213581a41a58cd8a8dba04c2f3aa9c"/>
    <w:p>
      <w:pPr>
        <w:pStyle w:val="Heading2"/>
      </w:pPr>
      <w:r>
        <w:t xml:space="preserve">Protections individuelles et collectives à envisager</w:t>
      </w:r>
    </w:p>
    <w:tbl>
      <w:tblPr>
        <w:tblStyle w:val="TableGrid"/>
        <w:tblW w:type="auto" w:w="0"/>
        <w:jc w:val="lef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autofit"/>
      </w:tblPr>
      <w:tblGrid>
        <w:gridCol w:w="3960"/>
        <w:gridCol w:w="396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w:t>
            </w:r>
          </w:p>
        </w:tc>
      </w:tr>
    </w:tbl>
    <w:bookmarkEnd w:id="66"/>
    <w:bookmarkStart w:id="67"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Précautions à prendre pour une manipulation sans danger : - P210 – Tenir à l’écart de la chaleur, des surfaces chaudes, des étincelles, des flammes nues et de toute autre source d’inflammation. Ne pas fumer. - P260 – Ne pas respirer les poussières, fumées, gaz, brouillards, vapeurs et aérosols. - P303 + P361 + P353 – En cas de contact avec la peau (ou les cheveux) : enlever immédiatement tous les vêtements contaminés, rincer la peau à l’eau ou se doucher. - P305 + P351 + P338 – En cas de contact avec les yeux : rincer avec précaution à l’eau pendant plusieurs minutes, enlever les lentilles de contact si la victime en porte et si elles peuvent être facilement enlevées, continuer à rincer. - P310 – Appeler immédiatement un centre antipoison ou un médecin. - P321 – Traitement spécifique (voir .? sur cette étiquette). - P370 + P378 – En cas d’incendie : utiliser un agent chimique sec, du CO₂, un jet d’eau ou une mousse résistant aux alcools pour l’extinction.</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Not Found</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Réservé aux utilisateurs professionnels ; réactif ou composant de laboratoire in vitro.</w:t>
            </w:r>
          </w:p>
        </w:tc>
      </w:tr>
    </w:tbl>
    <w:bookmarkEnd w:id="67"/>
    <w:bookmarkEnd w:id="68"/>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5D4391"/>
    <w:rsid w:val="006148BD"/>
    <w:rsid w:val="00666DED"/>
    <w:rsid w:val="008165A3"/>
    <w:rsid w:val="00860E1D"/>
    <w:rsid w:val="008662B7"/>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Hyperlink" w:type="character">
    <w:name w:val="Hyperlink"/>
    <w:basedOn w:val="DefaultParagraphFont"/>
    <w:uiPriority w:val="99"/>
    <w:unhideWhenUsed/>
    <w:rsid w:val="008662B7"/>
    <w:rPr>
      <w:color w:themeColor="hyperlink" w:val="467886"/>
      <w:u w:val="single"/>
    </w:rPr>
  </w:style>
  <w:style w:styleId="UnresolvedMention" w:type="character">
    <w:name w:val="Unresolved Mention"/>
    <w:basedOn w:val="DefaultParagraphFont"/>
    <w:uiPriority w:val="99"/>
    <w:semiHidden/>
    <w:unhideWhenUsed/>
    <w:rsid w:val="008662B7"/>
    <w:rPr>
      <w:color w:val="605E5C"/>
      <w:shd w:color="auto" w:fill="E1DFDD" w:val="cle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36" Type="http://schemas.openxmlformats.org/officeDocument/2006/relationships/image" Target="media/rId36.png"/><Relationship Id="rId23" Type="http://schemas.openxmlformats.org/officeDocument/2006/relationships/image" Target="media/rId23.png"/><Relationship Id="rId20" Type="http://schemas.openxmlformats.org/officeDocument/2006/relationships/image" Target="media/rId20.png"/><Relationship Id="rId52" Type="http://schemas.openxmlformats.org/officeDocument/2006/relationships/hyperlink" Target="https://www.inrs.fr/accueil/publications/bdd/fichetox/fiche.html?refINRS=FICHETOX_13" TargetMode="External"/><Relationship Id="rId55" Type="http://schemas.openxmlformats.org/officeDocument/2006/relationships/hyperlink" Target="https://www.inrs.fr/accueil/publications/bdd/fichetox/fiche.html?refINRS=FICHETOX_13&amp;section=VLEPMesurage" TargetMode="External"/><Relationship Id="rId60" Type="http://schemas.openxmlformats.org/officeDocument/2006/relationships/hyperlink" Target="https://www.inrs.fr/accueil/publications/bdd/fichetox/fiche.html?refINRS=FICHETOX_13&amp;section=bibliographieAuteurs" TargetMode="External"/><Relationship Id="rId54" Type="http://schemas.openxmlformats.org/officeDocument/2006/relationships/hyperlink" Target="https://www.inrs.fr/accueil/publications/bdd/fichetox/fiche.html?refINRS=FICHETOX_13&amp;section=caracteristiques" TargetMode="External"/><Relationship Id="rId53" Type="http://schemas.openxmlformats.org/officeDocument/2006/relationships/hyperlink" Target="https://www.inrs.fr/accueil/publications/bdd/fichetox/fiche.html?refINRS=FICHETOX_13&amp;section=generalites" TargetMode="External"/><Relationship Id="rId56" Type="http://schemas.openxmlformats.org/officeDocument/2006/relationships/hyperlink" Target="https://www.inrs.fr/accueil/publications/bdd/fichetox/fiche.html?refINRS=FICHETOX_13&amp;section=incendieExplosion" TargetMode="External"/><Relationship Id="rId57" Type="http://schemas.openxmlformats.org/officeDocument/2006/relationships/hyperlink" Target="https://www.inrs.fr/accueil/publications/bdd/fichetox/fiche.html?refINRS=FICHETOX_13&amp;section=pathologieToxicologie" TargetMode="External"/><Relationship Id="rId59" Type="http://schemas.openxmlformats.org/officeDocument/2006/relationships/hyperlink" Target="https://www.inrs.fr/accueil/publications/bdd/fichetox/fiche.html?refINRS=FICHETOX_13&amp;section=recommandations" TargetMode="External"/><Relationship Id="rId58" Type="http://schemas.openxmlformats.org/officeDocument/2006/relationships/hyperlink" Target="https://www.inrs.fr/accueil/publications/bdd/fichetox/fiche.html?refINRS=FICHETOX_13&amp;section=reglementation" TargetMode="External"/><Relationship Id="rId41" Type="http://schemas.openxmlformats.org/officeDocument/2006/relationships/hyperlink" Target="https://www.inrs.fr/accueil/publications/bdd/fichetox/fiche.html?refINRS=FICHETOX_206" TargetMode="External"/><Relationship Id="rId44" Type="http://schemas.openxmlformats.org/officeDocument/2006/relationships/hyperlink" Target="https://www.inrs.fr/accueil/publications/bdd/fichetox/fiche.html?refINRS=FICHETOX_206&amp;section=VLEPMesurage" TargetMode="External"/><Relationship Id="rId49" Type="http://schemas.openxmlformats.org/officeDocument/2006/relationships/hyperlink" Target="https://www.inrs.fr/accueil/publications/bdd/fichetox/fiche.html?refINRS=FICHETOX_206&amp;section=bibliographieAuteurs" TargetMode="External"/><Relationship Id="rId43" Type="http://schemas.openxmlformats.org/officeDocument/2006/relationships/hyperlink" Target="https://www.inrs.fr/accueil/publications/bdd/fichetox/fiche.html?refINRS=FICHETOX_206&amp;section=caracteristiques" TargetMode="External"/><Relationship Id="rId42" Type="http://schemas.openxmlformats.org/officeDocument/2006/relationships/hyperlink" Target="https://www.inrs.fr/accueil/publications/bdd/fichetox/fiche.html?refINRS=FICHETOX_206&amp;section=generalites" TargetMode="External"/><Relationship Id="rId45" Type="http://schemas.openxmlformats.org/officeDocument/2006/relationships/hyperlink" Target="https://www.inrs.fr/accueil/publications/bdd/fichetox/fiche.html?refINRS=FICHETOX_206&amp;section=incendieExplosion" TargetMode="External"/><Relationship Id="rId46" Type="http://schemas.openxmlformats.org/officeDocument/2006/relationships/hyperlink" Target="https://www.inrs.fr/accueil/publications/bdd/fichetox/fiche.html?refINRS=FICHETOX_206&amp;section=pathologieToxicologie" TargetMode="External"/><Relationship Id="rId48" Type="http://schemas.openxmlformats.org/officeDocument/2006/relationships/hyperlink" Target="https://www.inrs.fr/accueil/publications/bdd/fichetox/fiche.html?refINRS=FICHETOX_206&amp;section=recommandations" TargetMode="External"/><Relationship Id="rId47" Type="http://schemas.openxmlformats.org/officeDocument/2006/relationships/hyperlink" Target="https://www.inrs.fr/accueil/publications/bdd/fichetox/fiche.html?refINRS=FICHETOX_206&amp;section=reglementation" TargetMode="External"/></Relationships>
</file>

<file path=word/_rels/footnotes.xml.rels><?xml version='1.0' encoding='UTF-8' standalone='yes'?>
<Relationships xmlns="http://schemas.openxmlformats.org/package/2006/relationships"><Relationship Id="rId52" Type="http://schemas.openxmlformats.org/officeDocument/2006/relationships/hyperlink" Target="https://www.inrs.fr/accueil/publications/bdd/fichetox/fiche.html?refINRS=FICHETOX_13" TargetMode="External"/><Relationship Id="rId55" Type="http://schemas.openxmlformats.org/officeDocument/2006/relationships/hyperlink" Target="https://www.inrs.fr/accueil/publications/bdd/fichetox/fiche.html?refINRS=FICHETOX_13&amp;section=VLEPMesurage" TargetMode="External"/><Relationship Id="rId60" Type="http://schemas.openxmlformats.org/officeDocument/2006/relationships/hyperlink" Target="https://www.inrs.fr/accueil/publications/bdd/fichetox/fiche.html?refINRS=FICHETOX_13&amp;section=bibliographieAuteurs" TargetMode="External"/><Relationship Id="rId54" Type="http://schemas.openxmlformats.org/officeDocument/2006/relationships/hyperlink" Target="https://www.inrs.fr/accueil/publications/bdd/fichetox/fiche.html?refINRS=FICHETOX_13&amp;section=caracteristiques" TargetMode="External"/><Relationship Id="rId53" Type="http://schemas.openxmlformats.org/officeDocument/2006/relationships/hyperlink" Target="https://www.inrs.fr/accueil/publications/bdd/fichetox/fiche.html?refINRS=FICHETOX_13&amp;section=generalites" TargetMode="External"/><Relationship Id="rId56" Type="http://schemas.openxmlformats.org/officeDocument/2006/relationships/hyperlink" Target="https://www.inrs.fr/accueil/publications/bdd/fichetox/fiche.html?refINRS=FICHETOX_13&amp;section=incendieExplosion" TargetMode="External"/><Relationship Id="rId57" Type="http://schemas.openxmlformats.org/officeDocument/2006/relationships/hyperlink" Target="https://www.inrs.fr/accueil/publications/bdd/fichetox/fiche.html?refINRS=FICHETOX_13&amp;section=pathologieToxicologie" TargetMode="External"/><Relationship Id="rId59" Type="http://schemas.openxmlformats.org/officeDocument/2006/relationships/hyperlink" Target="https://www.inrs.fr/accueil/publications/bdd/fichetox/fiche.html?refINRS=FICHETOX_13&amp;section=recommandations" TargetMode="External"/><Relationship Id="rId58" Type="http://schemas.openxmlformats.org/officeDocument/2006/relationships/hyperlink" Target="https://www.inrs.fr/accueil/publications/bdd/fichetox/fiche.html?refINRS=FICHETOX_13&amp;section=reglementation" TargetMode="External"/><Relationship Id="rId41" Type="http://schemas.openxmlformats.org/officeDocument/2006/relationships/hyperlink" Target="https://www.inrs.fr/accueil/publications/bdd/fichetox/fiche.html?refINRS=FICHETOX_206" TargetMode="External"/><Relationship Id="rId44" Type="http://schemas.openxmlformats.org/officeDocument/2006/relationships/hyperlink" Target="https://www.inrs.fr/accueil/publications/bdd/fichetox/fiche.html?refINRS=FICHETOX_206&amp;section=VLEPMesurage" TargetMode="External"/><Relationship Id="rId49" Type="http://schemas.openxmlformats.org/officeDocument/2006/relationships/hyperlink" Target="https://www.inrs.fr/accueil/publications/bdd/fichetox/fiche.html?refINRS=FICHETOX_206&amp;section=bibliographieAuteurs" TargetMode="External"/><Relationship Id="rId43" Type="http://schemas.openxmlformats.org/officeDocument/2006/relationships/hyperlink" Target="https://www.inrs.fr/accueil/publications/bdd/fichetox/fiche.html?refINRS=FICHETOX_206&amp;section=caracteristiques" TargetMode="External"/><Relationship Id="rId42" Type="http://schemas.openxmlformats.org/officeDocument/2006/relationships/hyperlink" Target="https://www.inrs.fr/accueil/publications/bdd/fichetox/fiche.html?refINRS=FICHETOX_206&amp;section=generalites" TargetMode="External"/><Relationship Id="rId45" Type="http://schemas.openxmlformats.org/officeDocument/2006/relationships/hyperlink" Target="https://www.inrs.fr/accueil/publications/bdd/fichetox/fiche.html?refINRS=FICHETOX_206&amp;section=incendieExplosion" TargetMode="External"/><Relationship Id="rId46" Type="http://schemas.openxmlformats.org/officeDocument/2006/relationships/hyperlink" Target="https://www.inrs.fr/accueil/publications/bdd/fichetox/fiche.html?refINRS=FICHETOX_206&amp;section=pathologieToxicologie" TargetMode="External"/><Relationship Id="rId48" Type="http://schemas.openxmlformats.org/officeDocument/2006/relationships/hyperlink" Target="https://www.inrs.fr/accueil/publications/bdd/fichetox/fiche.html?refINRS=FICHETOX_206&amp;section=recommandations" TargetMode="External"/><Relationship Id="rId47" Type="http://schemas.openxmlformats.org/officeDocument/2006/relationships/hyperlink" Target="https://www.inrs.fr/accueil/publications/bdd/fichetox/fiche.html?refINRS=FICHETOX_206&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38</Words>
  <Characters>167</Characters>
  <Application>Microsoft Office Word</Application>
  <DocSecurity>0</DocSecurity>
  <Lines>16</Lines>
  <Paragraphs>18</Paragraphs>
  <ScaleCrop>false</ScaleCrop>
  <Company/>
  <LinksUpToDate>false</LinksUpToDate>
  <CharactersWithSpaces>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2026-07-06T11:24:31Z</dcterms:created>
  <dcterms:modified xsi:type="dcterms:W3CDTF">2026-07-06T11:24:31Z</dcterms:modified>
</cp:coreProperties>
</file>

<file path=docProps/custom.xml><?xml version="1.0" encoding="utf-8"?>
<Properties xmlns="http://schemas.openxmlformats.org/officeDocument/2006/custom-properties" xmlns:vt="http://schemas.openxmlformats.org/officeDocument/2006/docPropsVTypes"/>
</file>