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Relationship Id="rId3" Type="http://schemas.openxmlformats.org/package/2006/relationships/metadata/core-properties" Target="docProps/core.xml"/><Relationship Id="rId5" Type="http://schemas.openxmlformats.org/officeDocument/2006/relationships/custom-properties" Target="docProps/custom.xml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body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 xml:space="preserve">Table of Contents</w:t>
          </w:r>
        </w:p>
        <w:p>
          <w:r>
            <w:fldChar w:fldCharType="begin" w:dirty="true"/>
            <w:instrText xml:space="preserve">TOC \o "1-3" \h \z \u</w:instrText>
            <w:fldChar w:fldCharType="separate"/>
            <w:fldChar w:fldCharType="end"/>
          </w:r>
        </w:p>
      </w:sdtContent>
    </w:sdt>
    <w:p>
      <w:r>
        <w:br w:type="page"/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0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960"/>
        <w:gridCol w:w="3960"/>
      </w:tblGrid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Tilte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– Analyse des dangers du produit laked_horse_bloodsr0048cthermofisher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Company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2026-07-06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Version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Rev0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Auteur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Emilia 0.7.1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592098"/>
                  <wp:effectExtent b="0" l="0" r="0" t="0"/>
                  <wp:docPr descr="Modyva Logo" title="" id="21" name="Picture"/>
                  <a:graphic>
                    <a:graphicData uri="http://schemas.openxmlformats.org/drawingml/2006/picture">
                      <pic:pic>
                        <pic:nvPicPr>
                          <pic:cNvPr descr="templates/modyva.png" id="22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59209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drawing>
                <wp:inline>
                  <wp:extent cx="2159999" cy="848259"/>
                  <wp:effectExtent b="0" l="0" r="0" t="0"/>
                  <wp:docPr descr="Cohezio Logo" title="" id="24" name="Picture"/>
                  <a:graphic>
                    <a:graphicData uri="http://schemas.openxmlformats.org/drawingml/2006/picture">
                      <pic:pic>
                        <pic:nvPicPr>
                          <pic:cNvPr descr="templates/cohezio.png" id="25" name="Picture"/>
                          <pic:cNvPicPr>
                            <a:picLocks noChangeArrowheads="1" noChangeAspect="1"/>
                          </pic:cNvPicPr>
                        </pic:nvPicPr>
                        <pic:blipFill>
                          <a:blip r:embed="rId23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59999" cy="84825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>
      <w:r>
        <w:br w:type="page"/>
      </w:r>
    </w:p>
    <w:bookmarkStart w:id="26" w:name="introduction"/>
    <w:p>
      <w:pPr>
        <w:pStyle w:val="Heading1"/>
      </w:pPr>
      <w:r>
        <w:t xml:space="preserve">Introduction</w:t>
      </w:r>
    </w:p>
    <w:p>
      <w:pPr>
        <w:pStyle w:val="FirstParagraph"/>
      </w:pPr>
      <w:r>
        <w:t xml:space="preserve">Le présent rapport analyse les dangers intrinsèques du produit</w:t>
      </w:r>
      <w:r>
        <w:t xml:space="preserve"> </w:t>
      </w:r>
      <w:r>
        <w:rPr>
          <w:b/>
          <w:bCs/>
        </w:rPr>
        <w:t xml:space="preserve">laked_horse_bloodsr0048cthermofisher</w:t>
      </w:r>
      <w:r>
        <w:t xml:space="preserve">.</w:t>
      </w:r>
    </w:p>
    <w:p>
      <w:pPr>
        <w:pStyle w:val="BodyText"/>
      </w:pPr>
      <w:r>
        <w:t xml:space="preserve">L’analyse vise à répondre aux questions suivantes :</w:t>
      </w:r>
    </w:p>
    <w:p>
      <w:pPr>
        <w:pStyle w:val="Compact"/>
        <w:numPr>
          <w:ilvl w:val="0"/>
          <w:numId w:val="1001"/>
        </w:numPr>
      </w:pPr>
      <w:r>
        <w:t xml:space="preserve">Quels sont les dangers associés au produit et à ses substances ?</w:t>
      </w:r>
    </w:p>
    <w:p>
      <w:pPr>
        <w:pStyle w:val="Compact"/>
        <w:numPr>
          <w:ilvl w:val="0"/>
          <w:numId w:val="1001"/>
        </w:numPr>
      </w:pPr>
      <w:r>
        <w:t xml:space="preserve">Les substances présentes sont-elles soumises à des valeurs limites d’exposition ou à des classifications particulières (CMR, SEVESO, …) ?</w:t>
      </w:r>
    </w:p>
    <w:p>
      <w:pPr>
        <w:pStyle w:val="Compact"/>
        <w:numPr>
          <w:ilvl w:val="0"/>
          <w:numId w:val="1001"/>
        </w:numPr>
      </w:pPr>
      <w:r>
        <w:t xml:space="preserve">Quels sont les dangers pour la santé connus pour ces différentes substances ?</w:t>
      </w:r>
    </w:p>
    <w:p>
      <w:pPr>
        <w:pStyle w:val="Compact"/>
        <w:numPr>
          <w:ilvl w:val="0"/>
          <w:numId w:val="1001"/>
        </w:numPr>
      </w:pPr>
      <w:r>
        <w:t xml:space="preserve">Est-ce que la FDS reçue présente potentiellement des erreurs (obsolescence, changements dans les classifications de l’ECHA, …) ?</w:t>
      </w:r>
    </w:p>
    <w:p>
      <w:pPr>
        <w:pStyle w:val="Compact"/>
        <w:numPr>
          <w:ilvl w:val="0"/>
          <w:numId w:val="1001"/>
        </w:numPr>
      </w:pPr>
      <w:r>
        <w:t xml:space="preserve">Quelles mesures de prévention doivent être envisagées lors de l’utilisation de ce produit ?</w:t>
      </w:r>
    </w:p>
    <w:p>
      <w:pPr>
        <w:pStyle w:val="FirstParagraph"/>
      </w:pPr>
      <w:r>
        <w:t xml:space="preserve">La fiche de données de sécurité (FDS) a été traitée à l’aide de l’outil d’intelligence artificielle</w:t>
      </w:r>
      <w:r>
        <w:t xml:space="preserve"> </w:t>
      </w:r>
      <w:r>
        <w:rPr>
          <w:b/>
          <w:bCs/>
        </w:rPr>
        <w:t xml:space="preserve">EmilIA</w:t>
      </w:r>
      <w:r>
        <w:t xml:space="preserve"> </w:t>
      </w:r>
      <w:r>
        <w:t xml:space="preserve">développé par</w:t>
      </w:r>
      <w:r>
        <w:t xml:space="preserve"> </w:t>
      </w:r>
      <w:r>
        <w:rPr>
          <w:b/>
          <w:bCs/>
        </w:rPr>
        <w:t xml:space="preserve">Modyva</w:t>
      </w:r>
      <w:r>
        <w:t xml:space="preserve">. Les résultats ont été revus et contrôlés par Modyva.</w:t>
      </w:r>
      <w:r>
        <w:br/>
      </w:r>
      <w:r>
        <w:t xml:space="preserve">L’analyse se limite à une analyse des dangers. L’exposition au risque basée sur les conditions réelles d’utilisation in-situ n’a pas été évaluée.</w:t>
      </w:r>
    </w:p>
    <w:p>
      <w:pPr>
        <w:pStyle w:val="BodyText"/>
      </w:pPr>
      <w:r>
        <w:t xml:space="preserve">Cette étude est basée sur les prescriptions et recommandations suivantes :</w:t>
      </w:r>
    </w:p>
    <w:p>
      <w:pPr>
        <w:pStyle w:val="Compact"/>
        <w:numPr>
          <w:ilvl w:val="0"/>
          <w:numId w:val="1002"/>
        </w:numPr>
      </w:pPr>
      <w:r>
        <w:t xml:space="preserve">LIVRE VI — Agents chimiques, cancérigènes, mutagènes et reprotoxiques</w:t>
      </w:r>
    </w:p>
    <w:p>
      <w:pPr>
        <w:pStyle w:val="Compact"/>
        <w:numPr>
          <w:ilvl w:val="0"/>
          <w:numId w:val="1002"/>
        </w:numPr>
      </w:pPr>
      <w:r>
        <w:t xml:space="preserve">Fiches toxicologiques de l’INRS</w:t>
      </w:r>
    </w:p>
    <w:p>
      <w:pPr>
        <w:pStyle w:val="Compact"/>
        <w:numPr>
          <w:ilvl w:val="0"/>
          <w:numId w:val="1002"/>
        </w:numPr>
      </w:pPr>
      <w:r>
        <w:t xml:space="preserve">Directive 2012/18/UE (SEVESO)</w:t>
      </w:r>
    </w:p>
    <w:p>
      <w:pPr>
        <w:pStyle w:val="Compact"/>
        <w:numPr>
          <w:ilvl w:val="0"/>
          <w:numId w:val="1002"/>
        </w:numPr>
      </w:pPr>
      <w:r>
        <w:t xml:space="preserve">Règlement (CE) 1272/2008 (CLP)</w:t>
      </w:r>
    </w:p>
    <w:p>
      <w:pPr>
        <w:pStyle w:val="Compact"/>
        <w:numPr>
          <w:ilvl w:val="0"/>
          <w:numId w:val="1002"/>
        </w:numPr>
      </w:pPr>
      <w:r>
        <w:t xml:space="preserve">Règlement (CE) 1907/2006 (REACH) — Annexe XVII / Annexe XIV</w:t>
      </w:r>
    </w:p>
    <w:p>
      <w:pPr>
        <w:pStyle w:val="Compact"/>
        <w:numPr>
          <w:ilvl w:val="0"/>
          <w:numId w:val="1002"/>
        </w:numPr>
      </w:pPr>
      <w:r>
        <w:t xml:space="preserve">Règlement (UE) 2019/1021 (POP)</w:t>
      </w:r>
    </w:p>
    <w:p>
      <w:pPr>
        <w:pStyle w:val="Compact"/>
        <w:numPr>
          <w:ilvl w:val="0"/>
          <w:numId w:val="1002"/>
        </w:numPr>
      </w:pPr>
      <w:r>
        <w:t xml:space="preserve">Règlement (UE) 528/2012 (Biocides)</w:t>
      </w:r>
    </w:p>
    <w:p>
      <w:r>
        <w:br w:type="page"/>
      </w:r>
    </w:p>
    <w:bookmarkEnd w:id="26"/>
    <w:bookmarkStart w:id="35" w:name="X0ede362cb7d947a3b94f9dcea1e3026dc789019"/>
    <w:p>
      <w:pPr>
        <w:pStyle w:val="Heading1"/>
      </w:pPr>
      <w:r>
        <w:t xml:space="preserve">Analyse des dangers : laked_horse_bloodsr0048cthermofisher</w:t>
      </w:r>
    </w:p>
    <w:p>
      <w:pPr>
        <w:pStyle w:val="FirstParagraph"/>
      </w:pPr>
      <w:r>
        <w:t xml:space="preserve">Dans la suite, nous détaillons les dangers associés au produit</w:t>
      </w:r>
      <w:r>
        <w:t xml:space="preserve"> </w:t>
      </w:r>
      <w:r>
        <w:rPr>
          <w:b/>
          <w:bCs/>
        </w:rPr>
        <w:t xml:space="preserve">laked_horse_bloodsr0048cthermofisher</w:t>
      </w:r>
      <w:r>
        <w:t xml:space="preserve">, les éléments potentiellement erronés ou obsolètes relevés dans la FDS, les classifications des différentes substances présentes et les protections individuelles à envisager.</w:t>
      </w:r>
    </w:p>
    <w:bookmarkStart w:id="27" w:name="X8dba009bd9247913838556218799ec0ac58d74c"/>
    <w:p>
      <w:pPr>
        <w:pStyle w:val="Heading2"/>
      </w:pPr>
      <w:r>
        <w:t xml:space="preserve">Remarques préalables relatives au contenu de la FDS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582"/>
        <w:gridCol w:w="433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Propriété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Valeur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Fabriqué par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Oxoid Ltd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État physique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Forme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Liquide (multiples couleurs)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pH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Pas disponible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Usage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Produits chimiques de laboratoire.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FDS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2021-12-10</w:t>
            </w:r>
          </w:p>
        </w:tc>
      </w:tr>
    </w:tbl>
    <w:p>
      <w:pPr>
        <w:pStyle w:val="BodyText"/>
      </w:pPr>
      <w:r>
        <w:t xml:space="preserve"> </w:t>
      </w:r>
      <w:r>
        <w:t xml:space="preserve">La FDS date du 2021-12-10. Elle a donc 4 an(s).</w:t>
      </w:r>
      <w:r>
        <w:t xml:space="preserve"> </w:t>
      </w:r>
      <w:r>
        <w:t xml:space="preserve">La FDS ayant plus de 3 ans, il est</w:t>
      </w:r>
      <w:r>
        <w:t xml:space="preserve"> </w:t>
      </w:r>
      <w:r>
        <w:rPr>
          <w:i/>
          <w:iCs/>
        </w:rPr>
        <w:t xml:space="preserve">recommandé</w:t>
      </w:r>
      <w:r>
        <w:t xml:space="preserve"> </w:t>
      </w:r>
      <w:r>
        <w:t xml:space="preserve">de demander au fournisseur de produire une FDS mise à jour.</w:t>
      </w:r>
    </w:p>
    <w:bookmarkEnd w:id="27"/>
    <w:bookmarkStart w:id="29" w:name="erreurs-de-classification"/>
    <w:p>
      <w:pPr>
        <w:pStyle w:val="Heading2"/>
      </w:pPr>
      <w:r>
        <w:t xml:space="preserve">Erreurs de classification</w:t>
      </w:r>
    </w:p>
    <w:bookmarkStart w:id="28" w:name="produit"/>
    <w:p>
      <w:pPr>
        <w:pStyle w:val="Heading3"/>
      </w:pPr>
      <w:r>
        <w:t xml:space="preserve">Produit</w:t>
      </w:r>
    </w:p>
    <w:p>
      <w:pPr>
        <w:pStyle w:val="FirstParagraph"/>
      </w:pPr>
      <w:r>
        <w:t xml:space="preserve">Emilia n’a pas identifié d’erreur de classification dans la FDS.</w:t>
      </w:r>
    </w:p>
    <w:bookmarkEnd w:id="28"/>
    <w:bookmarkEnd w:id="29"/>
    <w:bookmarkStart w:id="30" w:name="X8590ab4bbc4e90345d03c8c67bc0c03dd205453"/>
    <w:p>
      <w:pPr>
        <w:pStyle w:val="Heading2"/>
      </w:pPr>
      <w:r>
        <w:t xml:space="preserve">Dangers, conseils de prudence et classification pour le transport du produit</w:t>
      </w:r>
    </w:p>
    <w:p>
      <w:pPr>
        <w:pStyle w:val="FirstParagraph"/>
      </w:pPr>
      <w:r>
        <w:rPr>
          <w:b/>
          <w:bCs/>
        </w:rPr>
        <w:t xml:space="preserve">Mention d’avertissement</w:t>
      </w:r>
      <w:r>
        <w:t xml:space="preserve"> </w:t>
      </w:r>
      <w:r>
        <w:t xml:space="preserve">:</w:t>
      </w:r>
      <w:r>
        <w:t xml:space="preserve"> </w:t>
      </w:r>
      <w:r>
        <w:t xml:space="preserve">Not Applicable</w:t>
      </w:r>
    </w:p>
    <w:p>
      <w:pPr>
        <w:pStyle w:val="BodyText"/>
      </w:pPr>
      <w:r>
        <w:rPr>
          <w:b/>
          <w:bCs/>
        </w:rPr>
        <w:t xml:space="preserve">Pictogrammes (SGH)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Mentions de danger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Conseils de prudence</w:t>
      </w:r>
      <w:r>
        <w:t xml:space="preserve"> </w:t>
      </w:r>
      <w:r>
        <w:t xml:space="preserve">:</w:t>
      </w:r>
    </w:p>
    <w:p>
      <w:pPr>
        <w:pStyle w:val="BodyText"/>
      </w:pPr>
      <w:r>
        <w:rPr>
          <w:b/>
          <w:bCs/>
        </w:rPr>
        <w:t xml:space="preserve">Transport</w:t>
      </w:r>
      <w:r>
        <w:t xml:space="preserve"> </w:t>
      </w:r>
      <w:r>
        <w:t xml:space="preserve">:</w:t>
      </w:r>
    </w:p>
    <w:p>
      <w:pPr>
        <w:pStyle w:val="Compact"/>
        <w:numPr>
          <w:ilvl w:val="0"/>
          <w:numId w:val="1003"/>
        </w:numPr>
      </w:pPr>
      <w:r>
        <w:t xml:space="preserve">ADR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RID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ADN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IMDG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IATA : Please provide the text you would like me to translate into French.</w:t>
      </w:r>
    </w:p>
    <w:p>
      <w:pPr>
        <w:pStyle w:val="Compact"/>
        <w:numPr>
          <w:ilvl w:val="0"/>
          <w:numId w:val="1003"/>
        </w:numPr>
      </w:pPr>
      <w:r>
        <w:t xml:space="preserve">UN : Please provide the text you would like me to translate into French.</w:t>
      </w:r>
    </w:p>
    <w:bookmarkEnd w:id="30"/>
    <w:bookmarkStart w:id="31" w:name="Xda6f178de632779b007ca26fa4959a763d2c7f4"/>
    <w:p>
      <w:pPr>
        <w:pStyle w:val="Heading2"/>
      </w:pPr>
      <w:r>
        <w:t xml:space="preserve">Dangers et/ou mesures par voie d’exposition</w:t>
      </w:r>
    </w:p>
    <w:p>
      <w:pPr>
        <w:pStyle w:val="FirstParagraph"/>
      </w:pPr>
      <w:r>
        <w:t xml:space="preserve">peau : Lavez immédiatement à l’eau et au savon en abondance. Consultez un médecin si des symptômes surviennent.</w:t>
      </w:r>
    </w:p>
    <w:p>
      <w:pPr>
        <w:pStyle w:val="BodyText"/>
      </w:pPr>
      <w:r>
        <w:t xml:space="preserve">yeux : Rincez abondamment à l’eau, également sous les paupières. En cas d’irritation oculaire persistante, consultez un médecin.</w:t>
      </w:r>
    </w:p>
    <w:p>
      <w:pPr>
        <w:pStyle w:val="BodyText"/>
      </w:pPr>
      <w:r>
        <w:t xml:space="preserve">ingestion : Nettoyez la bouche à l’eau et buvez ensuite beaucoup d’eau. Consultez un médecin.</w:t>
      </w:r>
    </w:p>
    <w:p>
      <w:pPr>
        <w:pStyle w:val="BodyText"/>
      </w:pPr>
      <w:r>
        <w:t xml:space="preserve">inhalation : Amenez à l’air frais. Obtenez une attention médicale si des symptômes surviennent.</w:t>
      </w:r>
    </w:p>
    <w:p>
      <w:r>
        <w:br w:type="page"/>
      </w:r>
    </w:p>
    <w:bookmarkEnd w:id="31"/>
    <w:bookmarkStart w:id="32" w:name="Xd3fd47f9279b52cc9d4b00e07bdfde0bea6594f"/>
    <w:p>
      <w:pPr>
        <w:pStyle w:val="Heading2"/>
      </w:pPr>
      <w:r>
        <w:t xml:space="preserve">Informations relatives aux substances dangereuses présentes</w:t>
      </w:r>
    </w:p>
    <w:bookmarkEnd w:id="32"/>
    <w:bookmarkStart w:id="33" w:name="X45ad37046213581a41a58cd8a8dba04c2f3aa9c"/>
    <w:p>
      <w:pPr>
        <w:pStyle w:val="Heading2"/>
      </w:pPr>
      <w:r>
        <w:t xml:space="preserve">Protections individuelles et collectives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4202"/>
        <w:gridCol w:w="3717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Mains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: • Type : Gants jetables</w:t>
            </w:r>
            <w:r>
              <w:rPr>
                <w:sz w:val="20"/>
                <w:szCs w:val="20"/>
              </w:rPr>
              <w:t xml:space="preserve">• Matériau : Non spécifié - se référer à la norme EN 374 du fabricant (exigence minimale) pour la compatibilité chimique.</w:t>
            </w:r>
            <w:r>
              <w:rPr>
                <w:sz w:val="20"/>
                <w:szCs w:val="20"/>
              </w:rPr>
              <w:t xml:space="preserve">• Temps de percée : Non spécifié - consulter le fournisseur pour la perméabilité et le temps de percée.</w:t>
            </w:r>
            <w:r>
              <w:rPr>
                <w:sz w:val="20"/>
                <w:szCs w:val="20"/>
              </w:rPr>
              <w:t xml:space="preserve">• Épaisseur : Non spécifiée - vérifier la norme européenne pour l’épaisseur des gants.</w:t>
            </w:r>
            <w:r>
              <w:rPr>
                <w:sz w:val="20"/>
                <w:szCs w:val="20"/>
              </w:rPr>
              <w:t xml:space="preserve">• Norme UE : EN 374 (exigence minimale).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Yeux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des yeux : • Lunettes de sécurité : En cas d’éclabousssements probables - Lunettes de sécurité (norme européenne - EN 166).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Peau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Gants : • Type : Gants jetables</w:t>
            </w:r>
            <w:r>
              <w:rPr>
                <w:sz w:val="20"/>
                <w:szCs w:val="20"/>
              </w:rPr>
              <w:t xml:space="preserve">• Matériau : Non spécifié - se référer à la norme EN 374 du fabricant (exigence minimale) pour la compatibilité chimique.</w:t>
            </w:r>
            <w:r>
              <w:rPr>
                <w:sz w:val="20"/>
                <w:szCs w:val="20"/>
              </w:rPr>
              <w:t xml:space="preserve">• Temps de percée : Non spécifié - consulter le fournisseur pour la perméabilité et le temps de percée.</w:t>
            </w:r>
            <w:r>
              <w:rPr>
                <w:sz w:val="20"/>
                <w:szCs w:val="20"/>
              </w:rPr>
              <w:t xml:space="preserve">• Épaisseur : Non spécifiée - vérifier la norme européenne pour l’épaisseur des gants.</w:t>
            </w:r>
            <w:r>
              <w:rPr>
                <w:sz w:val="20"/>
                <w:szCs w:val="20"/>
              </w:rPr>
              <w:t xml:space="preserve">• Norme UE : EN 374 (exigence minimale).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Système respiratoire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Protection respiratoire : • Utilisation à petite échelle / en laboratoire : Utilisez un appareil de protection respiratoire approuvé NIOSH/MSHA ou conforme à la norme européenne EN 149:2001 si les limites d’exposition sont dépassées ou si vous ressentez une irritation ou d’autres symptômes.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Test d’ajustement : Effectuez un test d’ajustement du masque facial lorsque l’EPI respiratoire est utilisé.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 xml:space="preserve">• Utilisation à grande échelle / en cas d’urgence : Portez un équipement respiratoire approprié si la ventilation est insuffisante.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Corps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Vêtements de protection : • Vêtements à manches longues pour la protection de la peau et du corps.</w:t>
            </w:r>
          </w:p>
        </w:tc>
      </w:tr>
    </w:tbl>
    <w:bookmarkEnd w:id="33"/>
    <w:bookmarkStart w:id="34" w:name="Xc141b1b6429233fc1a5306592e7c0023f190cfe"/>
    <w:p>
      <w:pPr>
        <w:pStyle w:val="Heading2"/>
      </w:pPr>
      <w:r>
        <w:t xml:space="preserve">Conditions de stockage et de manipulation à envisager</w:t>
      </w:r>
    </w:p>
    <w:tbl>
      <w:tblPr>
        <w:tblStyle w:val="TableGrid"/>
        <w:tblW w:type="pct" w:w="5000"/>
        <w:jc w:val="left"/>
        <w:tblLayout w:type="autofit"/>
        <w:tblLook w:firstRow="1" w:lastRow="0" w:firstColumn="0" w:lastColumn="0" w:noHBand="0" w:noVBand="1" w:val="0020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</w:tblPr>
      <w:tblGrid>
        <w:gridCol w:w="3009"/>
        <w:gridCol w:w="4910"/>
      </w:tblGrid>
      <w:tr>
        <w:trPr>
          <w:tblHeader w:val="on"/>
        </w:trP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Zones à protéger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Mesures à envisager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Précautions à prendre pour une manipulation sans danger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Assurez une ventilation adéquate. - Évitez tout contact avec la peau et les yeux. - Manipulez le produit conformément aux bonnes pratiques d’hygiène industrielle et de sécurité. - Tenez le produit éloigné des aliments, boissons et aliments pour animaux. - Ne mangez pas, ne buvez pas et ne fumez pas pendant l’utilisation du produit. - Retirez et lavez les vêtements et gants contaminés (y compris l’intérieur) avant de les réutiliser. - Lavez-vous les mains avant les pauses et après le travail.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Conditions d’un stockage sûr, y compris d’éventuelles incompatibilités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- Conservez le produit à des températures comprises entre 2 °C et 8 °C. - Il est classé sous les Règles techniques pour substances dangereuses (TRGS) 510 Classe 12 et Classe de stockage (LGK) (Allemagne). - Aucune incompatibilité n’est mentionnée dans le document.</w:t>
            </w:r>
          </w:p>
        </w:tc>
      </w:tr>
      <w:tr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Utilisation(s) finale(s) particulière(s)</w:t>
            </w:r>
          </w:p>
        </w:tc>
        <w:tc>
          <w:tcPr/>
          <w:p>
            <w:pPr>
              <w:pStyle w:val="Compac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Utilisation prévue : Produits chimiques de laboratoire.</w:t>
            </w:r>
          </w:p>
        </w:tc>
      </w:tr>
    </w:tbl>
    <w:bookmarkEnd w:id="34"/>
    <w:bookmarkEnd w:id="35"/>
    <w:sectPr w:rsidR="00E0006B">
      <w:pgSz w:h="15840" w:w="12240"/>
      <w:pgMar w:bottom="1440" w:footer="720" w:gutter="0" w:header="720" w:left="1440" w:right="1440" w:top="1440"/>
      <w:cols w:space="720"/>
      <w:docGrid w:linePitch="360"/>
    </w:sectPr>
  </w:body>
</w:document>
</file>

<file path=word/comments.xml><?xml version="1.0" encoding="utf-8"?>
<w:comment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/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 (Headings CS)">
    <w:altName w:val="Times New Roman"/>
    <w:panose1 w:val="020B0604020202020204"/>
    <w:charset w:val="00"/>
    <w:family w:val="roman"/>
    <w:pitch w:val="default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o="urn:schemas-microsoft-com:office:office" xmlns:v="urn:schemas-microsoft-com:vml" xmlns:w10="urn:schemas-microsoft-com:office:word" xmlns:a="http://schemas.openxmlformats.org/drawingml/2006/main" xmlns:pic="http://schemas.openxmlformats.org/drawingml/2006/picture" xmlns:wp="http://schemas.openxmlformats.org/drawingml/2006/wordprocessingDrawing">
  <w:footnote w:type="continuationSeparator" w:id="0">
    <w:p>
      <w:r>
        <w:continuationSeparator/>
      </w:r>
    </w:p>
  </w:footnote>
  <w:footnote w:type="separator" w:id="-1">
    <w:p>
      <w:r>
        <w:separator/>
      </w:r>
    </w:p>
  </w:footnote>
</w:footnotes>
</file>

<file path=word/numbering.xml><?xml version="1.0" encoding="utf-8"?>
<w:numbering xmlns:aink="http://schemas.microsoft.com/office/drawing/2016/ink" xmlns:am3d="http://schemas.microsoft.com/office/drawing/2017/model3d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="http://schemas.openxmlformats.org/officeDocument/2006/math" xmlns:mc="http://schemas.openxmlformats.org/markup-compatibility/2006" xmlns:o="urn:schemas-microsoft-com:office:office" xmlns:oel="http://schemas.microsoft.com/office/2019/extlst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16cid w16 w16cex w16sdtdh w16sdtfl w16du wp14">
  <w:abstractNum w15:restartNumberingAfterBreak="0" w:abstractNumId="0">
    <w:nsid w:val="0000A990"/>
    <w:multiLevelType w:val="multilevel"/>
    <w:tmpl w:val="1B169FA4"/>
    <w:lvl w:ilvl="0">
      <w:numFmt w:val="bullet"/>
      <w:lvlText w:val=" "/>
      <w:lvlJc w:val="left"/>
      <w:pPr>
        <w:ind w:hanging="360" w:left="720"/>
      </w:pPr>
    </w:lvl>
    <w:lvl w:ilvl="1">
      <w:numFmt w:val="bullet"/>
      <w:lvlText w:val=" "/>
      <w:lvlJc w:val="left"/>
      <w:pPr>
        <w:ind w:hanging="360" w:left="1440"/>
      </w:pPr>
    </w:lvl>
    <w:lvl w:ilvl="2">
      <w:numFmt w:val="bullet"/>
      <w:lvlText w:val=" "/>
      <w:lvlJc w:val="left"/>
      <w:pPr>
        <w:ind w:hanging="360" w:left="2160"/>
      </w:pPr>
    </w:lvl>
    <w:lvl w:ilvl="3">
      <w:numFmt w:val="bullet"/>
      <w:lvlText w:val=" "/>
      <w:lvlJc w:val="left"/>
      <w:pPr>
        <w:ind w:hanging="360" w:left="2880"/>
      </w:pPr>
    </w:lvl>
    <w:lvl w:ilvl="4">
      <w:numFmt w:val="bullet"/>
      <w:lvlText w:val=" "/>
      <w:lvlJc w:val="left"/>
      <w:pPr>
        <w:ind w:hanging="360" w:left="3600"/>
      </w:pPr>
    </w:lvl>
    <w:lvl w:ilvl="5">
      <w:numFmt w:val="bullet"/>
      <w:lvlText w:val=" "/>
      <w:lvlJc w:val="left"/>
      <w:pPr>
        <w:ind w:hanging="360" w:left="4320"/>
      </w:pPr>
    </w:lvl>
    <w:lvl w:ilvl="6">
      <w:numFmt w:val="bullet"/>
      <w:lvlText w:val=" "/>
      <w:lvlJc w:val="left"/>
      <w:pPr>
        <w:ind w:hanging="360" w:left="5040"/>
      </w:pPr>
    </w:lvl>
    <w:lvl w:ilvl="7">
      <w:numFmt w:val="bullet"/>
      <w:lvlText w:val=" "/>
      <w:lvlJc w:val="left"/>
      <w:pPr>
        <w:ind w:hanging="360" w:left="5760"/>
      </w:pPr>
    </w:lvl>
    <w:lvl w:ilvl="8">
      <w:numFmt w:val="bullet"/>
      <w:lvlText w:val=" "/>
      <w:lvlJc w:val="left"/>
      <w:pPr>
        <w:ind w:hanging="360" w:left="6480"/>
      </w:pPr>
    </w:lvl>
  </w:abstractNum>
  <w:abstractNum w15:restartNumberingAfterBreak="0" w:abstractNumId="1">
    <w:nsid w:val="0000A991"/>
    <w:multiLevelType w:val="multilevel"/>
    <w:tmpl w:val="1892DF90"/>
    <w:lvl w:ilvl="0">
      <w:numFmt w:val="bullet"/>
      <w:lvlText w:val=""/>
      <w:lvlJc w:val="left"/>
      <w:pPr>
        <w:ind w:hanging="360" w:left="720"/>
      </w:pPr>
      <w:rPr>
        <w:rFonts w:ascii="Symbol" w:cs="Symbol" w:hAnsi="Symbol" w:hint="default"/>
      </w:rPr>
    </w:lvl>
    <w:lvl w:ilvl="1"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>
      <w:numFmt w:val="bullet"/>
      <w:lvlText w:val=""/>
      <w:lvlJc w:val="left"/>
      <w:pPr>
        <w:ind w:hanging="360" w:left="2160"/>
      </w:pPr>
      <w:rPr>
        <w:rFonts w:ascii="Wingdings" w:cs="Wingdings" w:hAnsi="Wingdings" w:hint="default"/>
      </w:rPr>
    </w:lvl>
    <w:lvl w:ilvl="3">
      <w:numFmt w:val="bullet"/>
      <w:lvlText w:val=""/>
      <w:lvlJc w:val="left"/>
      <w:pPr>
        <w:ind w:hanging="360" w:left="2880"/>
      </w:pPr>
      <w:rPr>
        <w:rFonts w:ascii="Symbol" w:cs="Symbol" w:hAnsi="Symbol" w:hint="default"/>
      </w:rPr>
    </w:lvl>
    <w:lvl w:ilvl="4"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>
      <w:numFmt w:val="bullet"/>
      <w:lvlText w:val=""/>
      <w:lvlJc w:val="left"/>
      <w:pPr>
        <w:ind w:hanging="360" w:left="4320"/>
      </w:pPr>
      <w:rPr>
        <w:rFonts w:ascii="Wingdings" w:cs="Wingdings" w:hAnsi="Wingdings" w:hint="default"/>
      </w:rPr>
    </w:lvl>
    <w:lvl w:ilvl="6">
      <w:numFmt w:val="bullet"/>
      <w:lvlText w:val=""/>
      <w:lvlJc w:val="left"/>
      <w:pPr>
        <w:ind w:hanging="360" w:left="5040"/>
      </w:pPr>
      <w:rPr>
        <w:rFonts w:ascii="Symbol" w:cs="Symbol" w:hAnsi="Symbol" w:hint="default"/>
      </w:rPr>
    </w:lvl>
    <w:lvl w:ilvl="7"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>
      <w:numFmt w:val="bullet"/>
      <w:lvlText w:val=""/>
      <w:lvlJc w:val="left"/>
      <w:pPr>
        <w:ind w:hanging="360" w:left="6480"/>
      </w:pPr>
      <w:rPr>
        <w:rFonts w:ascii="Wingdings" w:cs="Wingdings" w:hAnsi="Wingdings" w:hint="default"/>
      </w:rPr>
    </w:lvl>
  </w:abstractNum>
  <w:abstractNum w15:restartNumberingAfterBreak="0" w:abstractNumId="2">
    <w:nsid w:val="04352475"/>
    <w:multiLevelType w:val="multilevel"/>
    <w:tmpl w:val="0B5C3C7C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3">
    <w:nsid w:val="27580FEE"/>
    <w:multiLevelType w:val="multilevel"/>
    <w:tmpl w:val="9D544CDC"/>
    <w:styleLink w:val="CurrentList2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4">
    <w:nsid w:val="400A04EB"/>
    <w:multiLevelType w:val="hybridMultilevel"/>
    <w:tmpl w:val="C7FEDEBC"/>
    <w:lvl w:ilvl="0" w:tplc="7876CDB4">
      <w:numFmt w:val="bullet"/>
      <w:lvlText w:val="-"/>
      <w:lvlJc w:val="left"/>
      <w:pPr>
        <w:ind w:hanging="360" w:left="720"/>
      </w:pPr>
      <w:rPr>
        <w:rFonts w:ascii="Calibri Light" w:cstheme="minorBidi" w:eastAsiaTheme="minorHAnsi" w:hAnsi="Calibri Light" w:hint="default"/>
      </w:rPr>
    </w:lvl>
    <w:lvl w:ilvl="1" w:tentative="1" w:tplc="04090003">
      <w:start w:val="1"/>
      <w:numFmt w:val="bullet"/>
      <w:lvlText w:val="o"/>
      <w:lvlJc w:val="left"/>
      <w:pPr>
        <w:ind w:hanging="360" w:left="1440"/>
      </w:pPr>
      <w:rPr>
        <w:rFonts w:ascii="Courier New" w:cs="Courier New" w:hAnsi="Courier New" w:hint="default"/>
      </w:rPr>
    </w:lvl>
    <w:lvl w:ilvl="2" w:tentative="1" w:tplc="04090005">
      <w:start w:val="1"/>
      <w:numFmt w:val="bullet"/>
      <w:lvlText w:val=""/>
      <w:lvlJc w:val="left"/>
      <w:pPr>
        <w:ind w:hanging="360" w:left="2160"/>
      </w:pPr>
      <w:rPr>
        <w:rFonts w:ascii="Wingdings" w:hAnsi="Wingdings" w:hint="default"/>
      </w:rPr>
    </w:lvl>
    <w:lvl w:ilvl="3" w:tentative="1" w:tplc="04090001">
      <w:start w:val="1"/>
      <w:numFmt w:val="bullet"/>
      <w:lvlText w:val=""/>
      <w:lvlJc w:val="left"/>
      <w:pPr>
        <w:ind w:hanging="360" w:left="2880"/>
      </w:pPr>
      <w:rPr>
        <w:rFonts w:ascii="Symbol" w:hAnsi="Symbol" w:hint="default"/>
      </w:rPr>
    </w:lvl>
    <w:lvl w:ilvl="4" w:tentative="1" w:tplc="04090003">
      <w:start w:val="1"/>
      <w:numFmt w:val="bullet"/>
      <w:lvlText w:val="o"/>
      <w:lvlJc w:val="left"/>
      <w:pPr>
        <w:ind w:hanging="360" w:left="3600"/>
      </w:pPr>
      <w:rPr>
        <w:rFonts w:ascii="Courier New" w:cs="Courier New" w:hAnsi="Courier New" w:hint="default"/>
      </w:rPr>
    </w:lvl>
    <w:lvl w:ilvl="5" w:tentative="1" w:tplc="04090005">
      <w:start w:val="1"/>
      <w:numFmt w:val="bullet"/>
      <w:lvlText w:val=""/>
      <w:lvlJc w:val="left"/>
      <w:pPr>
        <w:ind w:hanging="360" w:left="4320"/>
      </w:pPr>
      <w:rPr>
        <w:rFonts w:ascii="Wingdings" w:hAnsi="Wingdings" w:hint="default"/>
      </w:rPr>
    </w:lvl>
    <w:lvl w:ilvl="6" w:tentative="1" w:tplc="04090001">
      <w:start w:val="1"/>
      <w:numFmt w:val="bullet"/>
      <w:lvlText w:val=""/>
      <w:lvlJc w:val="left"/>
      <w:pPr>
        <w:ind w:hanging="360" w:left="5040"/>
      </w:pPr>
      <w:rPr>
        <w:rFonts w:ascii="Symbol" w:hAnsi="Symbol" w:hint="default"/>
      </w:rPr>
    </w:lvl>
    <w:lvl w:ilvl="7" w:tentative="1" w:tplc="04090003">
      <w:start w:val="1"/>
      <w:numFmt w:val="bullet"/>
      <w:lvlText w:val="o"/>
      <w:lvlJc w:val="left"/>
      <w:pPr>
        <w:ind w:hanging="360" w:left="5760"/>
      </w:pPr>
      <w:rPr>
        <w:rFonts w:ascii="Courier New" w:cs="Courier New" w:hAnsi="Courier New" w:hint="default"/>
      </w:rPr>
    </w:lvl>
    <w:lvl w:ilvl="8" w:tentative="1" w:tplc="04090005">
      <w:start w:val="1"/>
      <w:numFmt w:val="bullet"/>
      <w:lvlText w:val=""/>
      <w:lvlJc w:val="left"/>
      <w:pPr>
        <w:ind w:hanging="360" w:left="6480"/>
      </w:pPr>
      <w:rPr>
        <w:rFonts w:ascii="Wingdings" w:hAnsi="Wingdings" w:hint="default"/>
      </w:rPr>
    </w:lvl>
  </w:abstractNum>
  <w:abstractNum w15:restartNumberingAfterBreak="0" w:abstractNumId="5">
    <w:nsid w:val="50E51DAE"/>
    <w:multiLevelType w:val="multilevel"/>
    <w:tmpl w:val="563A878E"/>
    <w:styleLink w:val="CurrentList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15:restartNumberingAfterBreak="0" w:abstractNumId="6">
    <w:nsid w:val="52107C0B"/>
    <w:multiLevelType w:val="multilevel"/>
    <w:tmpl w:val="BBB8FE78"/>
    <w:lvl w:ilvl="0">
      <w:start w:val="1"/>
      <w:numFmt w:val="decimal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15:restartNumberingAfterBreak="0" w:abstractNumId="7">
    <w:nsid w:val="7CD12584"/>
    <w:multiLevelType w:val="multilevel"/>
    <w:tmpl w:val="06BCBE18"/>
    <w:lvl w:ilvl="0">
      <w:start w:val="1"/>
      <w:numFmt w:val="decimal"/>
      <w:pStyle w:val="Heading1"/>
      <w:isLgl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hanging="432" w:left="79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hanging="504" w:left="122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648" w:left="172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792" w:left="223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936" w:left="27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080" w:left="32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224" w:left="374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440" w:left="4320"/>
      </w:pPr>
      <w:rPr>
        <w:rFonts w:hint="default"/>
      </w:rPr>
    </w:lvl>
  </w:abstractNum>
  <w:abstractNum w:abstractNumId="990">
    <w:nsid w:val="0000A990"/>
    <w:multiLevelType w:val="multilevel"/>
    <w:lvl w:ilvl="0">
      <w:numFmt w:val="bullet"/>
      <w:lvlText w:val=" "/>
      <w:lvlJc w:val="left"/>
      <w:pPr>
        <w:ind w:left="720" w:hanging="480"/>
      </w:pPr>
    </w:lvl>
    <w:lvl w:ilvl="1">
      <w:numFmt w:val="bullet"/>
      <w:lvlText w:val=" "/>
      <w:lvlJc w:val="left"/>
      <w:pPr>
        <w:ind w:left="1440" w:hanging="480"/>
      </w:pPr>
    </w:lvl>
    <w:lvl w:ilvl="2">
      <w:numFmt w:val="bullet"/>
      <w:lvlText w:val=" "/>
      <w:lvlJc w:val="left"/>
      <w:pPr>
        <w:ind w:left="2160" w:hanging="480"/>
      </w:pPr>
    </w:lvl>
    <w:lvl w:ilvl="3">
      <w:numFmt w:val="bullet"/>
      <w:lvlText w:val=" "/>
      <w:lvlJc w:val="left"/>
      <w:pPr>
        <w:ind w:left="2880" w:hanging="480"/>
      </w:pPr>
    </w:lvl>
    <w:lvl w:ilvl="4">
      <w:numFmt w:val="bullet"/>
      <w:lvlText w:val=" "/>
      <w:lvlJc w:val="left"/>
      <w:pPr>
        <w:ind w:left="3600" w:hanging="480"/>
      </w:pPr>
    </w:lvl>
    <w:lvl w:ilvl="5">
      <w:numFmt w:val="bullet"/>
      <w:lvlText w:val=" "/>
      <w:lvlJc w:val="left"/>
      <w:pPr>
        <w:ind w:left="4320" w:hanging="480"/>
      </w:pPr>
    </w:lvl>
    <w:lvl w:ilvl="6">
      <w:numFmt w:val="bullet"/>
      <w:lvlText w:val=" "/>
      <w:lvlJc w:val="left"/>
      <w:pPr>
        <w:ind w:left="5040" w:hanging="480"/>
      </w:pPr>
    </w:lvl>
    <w:lvl w:ilvl="7">
      <w:numFmt w:val="bullet"/>
      <w:lvlText w:val=" "/>
      <w:lvlJc w:val="left"/>
      <w:pPr>
        <w:ind w:left="5760" w:hanging="480"/>
      </w:pPr>
    </w:lvl>
    <w:lvl w:ilvl="8">
      <w:numFmt w:val="bullet"/>
      <w:lvlText w:val=" "/>
      <w:lvlJc w:val="left"/>
      <w:pPr>
        <w:ind w:left="6480" w:hanging="480"/>
      </w:pPr>
    </w:lvl>
  </w:abstractNum>
  <w:abstractNum w:abstractNumId="991">
    <w:nsid w:val="0000A991"/>
    <w:multiLevelType w:val="multilevel"/>
    <w:lvl w:ilvl="0">
      <w:numFmt w:val="bullet"/>
      <w:lvlText w:val="•"/>
      <w:lvlJc w:val="left"/>
      <w:pPr>
        <w:ind w:left="720" w:hanging="480"/>
      </w:pPr>
    </w:lvl>
    <w:lvl w:ilvl="1">
      <w:numFmt w:val="bullet"/>
      <w:lvlText w:val="–"/>
      <w:lvlJc w:val="left"/>
      <w:pPr>
        <w:ind w:left="1440" w:hanging="480"/>
      </w:pPr>
    </w:lvl>
    <w:lvl w:ilvl="2">
      <w:numFmt w:val="bullet"/>
      <w:lvlText w:val="•"/>
      <w:lvlJc w:val="left"/>
      <w:pPr>
        <w:ind w:left="2160" w:hanging="480"/>
      </w:pPr>
    </w:lvl>
    <w:lvl w:ilvl="3">
      <w:numFmt w:val="bullet"/>
      <w:lvlText w:val="–"/>
      <w:lvlJc w:val="left"/>
      <w:pPr>
        <w:ind w:left="2880" w:hanging="480"/>
      </w:pPr>
    </w:lvl>
    <w:lvl w:ilvl="4">
      <w:numFmt w:val="bullet"/>
      <w:lvlText w:val="•"/>
      <w:lvlJc w:val="left"/>
      <w:pPr>
        <w:ind w:left="3600" w:hanging="480"/>
      </w:pPr>
    </w:lvl>
    <w:lvl w:ilvl="5">
      <w:numFmt w:val="bullet"/>
      <w:lvlText w:val="–"/>
      <w:lvlJc w:val="left"/>
      <w:pPr>
        <w:ind w:left="4320" w:hanging="480"/>
      </w:pPr>
    </w:lvl>
    <w:lvl w:ilvl="6">
      <w:numFmt w:val="bullet"/>
      <w:lvlText w:val="•"/>
      <w:lvlJc w:val="left"/>
      <w:pPr>
        <w:ind w:left="5040" w:hanging="480"/>
      </w:pPr>
    </w:lvl>
    <w:lvl w:ilvl="7">
      <w:numFmt w:val="bullet"/>
      <w:lvlText w:val="–"/>
      <w:lvlJc w:val="left"/>
      <w:pPr>
        <w:ind w:left="5760" w:hanging="480"/>
      </w:pPr>
    </w:lvl>
    <w:lvl w:ilvl="8">
      <w:numFmt w:val="bullet"/>
      <w:lvlText w:val="•"/>
      <w:lvlJc w:val="left"/>
      <w:pPr>
        <w:ind w:left="6480" w:hanging="480"/>
      </w:pPr>
    </w:lvl>
  </w:abstractNum>
  <w:num w16cid:durableId="1720471213" w:numId="1">
    <w:abstractNumId w:val="2"/>
  </w:num>
  <w:num w16cid:durableId="1648320710" w:numId="2">
    <w:abstractNumId w:val="5"/>
  </w:num>
  <w:num w16cid:durableId="2017804043" w:numId="3">
    <w:abstractNumId w:val="6"/>
  </w:num>
  <w:num w16cid:durableId="1651909906" w:numId="4">
    <w:abstractNumId w:val="3"/>
  </w:num>
  <w:num w16cid:durableId="521095555" w:numId="5">
    <w:abstractNumId w:val="7"/>
  </w:num>
  <w:num w16cid:durableId="817499995" w:numId="6">
    <w:abstractNumId w:val="4"/>
  </w:num>
  <w:num w16cid:durableId="1906332917" w:numId="7">
    <w:abstractNumId w:val="0"/>
  </w:num>
  <w:num w16cid:durableId="1745058132" w:numId="8">
    <w:abstractNumId w:val="1"/>
  </w:num>
  <w:num w16cid:durableId="1817255597" w:numId="9">
    <w:abstractNumId w:val="1"/>
  </w:num>
  <w:num w16cid:durableId="172231987" w:numId="10">
    <w:abstractNumId w:val="1"/>
  </w:num>
  <w:num w16cid:durableId="92215818" w:numId="11">
    <w:abstractNumId w:val="1"/>
  </w:num>
  <w:num w16cid:durableId="1483934940" w:numId="12">
    <w:abstractNumId w:val="1"/>
  </w:num>
  <w:num w16cid:durableId="1150366971" w:numId="13">
    <w:abstractNumId w:val="1"/>
  </w:num>
  <w:num w16cid:durableId="1761292258" w:numId="14">
    <w:abstractNumId w:val="1"/>
  </w:num>
  <w:num w16cid:durableId="346903929" w:numId="15">
    <w:abstractNumId w:val="1"/>
  </w:num>
  <w:num w16cid:durableId="1559971392" w:numId="16">
    <w:abstractNumId w:val="1"/>
  </w:num>
  <w:num w16cid:durableId="517354298" w:numId="17">
    <w:abstractNumId w:val="1"/>
  </w:num>
  <w:num w16cid:durableId="833032575" w:numId="18">
    <w:abstractNumId w:val="1"/>
  </w:num>
  <w:num w:numId="1000">
    <w:abstractNumId w:val="990"/>
  </w:num>
  <w:num w:numId="1001">
    <w:abstractNumId w:val="991"/>
  </w:num>
  <w:num w:numId="1002">
    <w:abstractNumId w:val="991"/>
  </w:num>
  <w:num w:numId="1003">
    <w:abstractNumId w:val="991"/>
  </w:num>
</w:numbering>
</file>

<file path=word/settings.xml><?xml version="1.0" encoding="utf-8"?>
<w:settings xmlns:m="http://schemas.openxmlformats.org/officeDocument/2006/math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>
  <w:zoom w:percent="160"/>
  <w:embedSystemFonts/>
  <w:proofState w:grammar="clean" w:spelling="clean"/>
  <w:stylePaneFormatFilter w:allStyles="0" w:alternateStyleNames="0" w:clearFormatting="1" w:customStyles="0" w:directFormattingOnNumbering="0" w:directFormattingOnParagraphs="0" w:directFormattingOnRuns="0" w:directFormattingOnTables="0" w:headingStyles="0" w:latentStyles="1" w:numberingStyles="0" w:stylesInUse="0" w:tableStyles="0" w:top3HeadingStyles="0" w:val="1004" w:visibleStyles="0"/>
  <w:doNotTrackMoves/>
  <w:defaultTabStop w:val="720"/>
  <w:defaultTableStyle w:val="TableGrid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footnotePr>
    <w:footnote w:id="-1"/>
    <w:footnote w:id="0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1D39"/>
    <w:rsid w:val="001509A7"/>
    <w:rsid w:val="00267AAB"/>
    <w:rsid w:val="003A690E"/>
    <w:rsid w:val="00414B90"/>
    <w:rsid w:val="004528CD"/>
    <w:rsid w:val="00526565"/>
    <w:rsid w:val="00541D66"/>
    <w:rsid w:val="00544B38"/>
    <w:rsid w:val="00565810"/>
    <w:rsid w:val="005D4391"/>
    <w:rsid w:val="006148BD"/>
    <w:rsid w:val="00666DED"/>
    <w:rsid w:val="008165A3"/>
    <w:rsid w:val="00860E1D"/>
    <w:rsid w:val="008662B7"/>
    <w:rsid w:val="008852B8"/>
    <w:rsid w:val="0094385A"/>
    <w:rsid w:val="00A1506E"/>
    <w:rsid w:val="00A64414"/>
    <w:rsid w:val="00AC12F5"/>
    <w:rsid w:val="00AD54C5"/>
    <w:rsid w:val="00B03303"/>
    <w:rsid w:val="00B31D39"/>
    <w:rsid w:val="00DE2473"/>
    <w:rsid w:val="00E0006B"/>
    <w:rsid w:val="00E218FB"/>
    <w:rsid w:val="00E820F7"/>
    <w:rsid w:val="00EB543D"/>
    <w:rsid w:val="00F41D15"/>
    <w:rsid w:val="00FA1C42"/>
  </w:rsids>
  <w:themeFontLang w:val="en-US"/>
  <w:clrSchemeMapping w:accent1="accent1" w:accent2="accent2" w:accent3="accent3" w:accent4="accent4" w:accent5="accent5" w:accent6="accent6" w:bg1="light1" w:bg2="light2" w:followedHyperlink="followedHyperlink" w:hyperlink="hyperlink" w:t1="dark1" w:t2="dark2"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cstheme="minorBidi" w:eastAsiaTheme="minorHAnsi" w:hAnsiTheme="minorHAnsi"/>
        <w:kern w:val="2"/>
        <w:sz w:val="24"/>
        <w:szCs w:val="24"/>
        <w:lang w:bidi="ar-SA" w:eastAsia="en-US" w:val="en-US"/>
        <w14:ligatures w14:val="standardContextual"/>
      </w:rPr>
    </w:rPrDefault>
    <w:pPrDefault>
      <w:pPr>
        <w:spacing w:after="160" w:line="278" w:lineRule="auto"/>
      </w:pPr>
    </w:pPrDefault>
  </w:docDefaults>
  <w:latentStyles w:count="376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default="1" w:styleId="Normal" w:type="paragraph">
    <w:name w:val="Normal"/>
    <w:qFormat/>
    <w:rsid w:val="00B31D39"/>
    <w:rPr>
      <w:rFonts w:ascii="Calibri" w:hAnsi="Calibri"/>
    </w:rPr>
  </w:style>
  <w:style w:styleId="Heading1" w:type="paragraph">
    <w:name w:val="heading 1"/>
    <w:basedOn w:val="Normal"/>
    <w:next w:val="Normal"/>
    <w:link w:val="Heading1Char"/>
    <w:uiPriority w:val="9"/>
    <w:qFormat/>
    <w:rsid w:val="00B31D39"/>
    <w:pPr>
      <w:keepNext/>
      <w:keepLines/>
      <w:numPr>
        <w:numId w:val="5"/>
      </w:numPr>
      <w:spacing w:after="80" w:before="360"/>
      <w:outlineLvl w:val="0"/>
    </w:pPr>
    <w:rPr>
      <w:rFonts w:cstheme="majorBidi" w:eastAsiaTheme="majorEastAsia"/>
      <w:b/>
      <w:color w:themeColor="accent1" w:themeShade="BF" w:val="0F4761"/>
      <w:sz w:val="40"/>
      <w:szCs w:val="40"/>
    </w:rPr>
  </w:style>
  <w:style w:styleId="Heading2" w:type="paragraph">
    <w:name w:val="heading 2"/>
    <w:basedOn w:val="Heading1"/>
    <w:next w:val="Normal"/>
    <w:link w:val="Heading2Char"/>
    <w:uiPriority w:val="9"/>
    <w:unhideWhenUsed/>
    <w:qFormat/>
    <w:rsid w:val="00FA1C42"/>
    <w:pPr>
      <w:numPr>
        <w:ilvl w:val="1"/>
      </w:numPr>
      <w:spacing w:before="160"/>
      <w:ind w:left="432"/>
      <w:outlineLvl w:val="1"/>
    </w:pPr>
    <w:rPr>
      <w:sz w:val="32"/>
      <w:szCs w:val="32"/>
    </w:rPr>
  </w:style>
  <w:style w:styleId="Heading3" w:type="paragraph">
    <w:name w:val="heading 3"/>
    <w:basedOn w:val="Heading2"/>
    <w:next w:val="Normal"/>
    <w:link w:val="Heading3Char"/>
    <w:uiPriority w:val="9"/>
    <w:unhideWhenUsed/>
    <w:qFormat/>
    <w:rsid w:val="00FA1C42"/>
    <w:pPr>
      <w:numPr>
        <w:ilvl w:val="2"/>
      </w:numPr>
      <w:ind w:left="504"/>
      <w:outlineLvl w:val="2"/>
    </w:pPr>
    <w:rPr>
      <w:rFonts w:cs="Times New Roman (Headings CS)"/>
      <w:sz w:val="28"/>
      <w:szCs w:val="28"/>
    </w:rPr>
  </w:style>
  <w:style w:styleId="Heading4" w:type="paragraph">
    <w:name w:val="heading 4"/>
    <w:basedOn w:val="Normal"/>
    <w:next w:val="Normal"/>
    <w:link w:val="Heading4Char"/>
    <w:uiPriority w:val="9"/>
    <w:semiHidden/>
    <w:unhideWhenUsed/>
    <w:qFormat/>
    <w:rsid w:val="00B31D39"/>
    <w:pPr>
      <w:keepNext/>
      <w:keepLines/>
      <w:spacing w:after="40" w:before="80"/>
      <w:outlineLvl w:val="3"/>
    </w:pPr>
    <w:rPr>
      <w:rFonts w:cstheme="majorBidi" w:eastAsiaTheme="majorEastAsia"/>
      <w:i/>
      <w:iCs/>
      <w:color w:themeColor="accent1" w:themeShade="BF" w:val="0F4761"/>
    </w:rPr>
  </w:style>
  <w:style w:styleId="Heading5" w:type="paragraph">
    <w:name w:val="heading 5"/>
    <w:basedOn w:val="Normal"/>
    <w:next w:val="Normal"/>
    <w:link w:val="Heading5Char"/>
    <w:uiPriority w:val="9"/>
    <w:semiHidden/>
    <w:unhideWhenUsed/>
    <w:qFormat/>
    <w:rsid w:val="00B31D39"/>
    <w:pPr>
      <w:keepNext/>
      <w:keepLines/>
      <w:spacing w:after="40" w:before="80"/>
      <w:outlineLvl w:val="4"/>
    </w:pPr>
    <w:rPr>
      <w:rFonts w:cstheme="majorBidi" w:eastAsiaTheme="majorEastAsia"/>
      <w:color w:themeColor="accent1" w:themeShade="BF" w:val="0F4761"/>
    </w:rPr>
  </w:style>
  <w:style w:styleId="Heading6" w:type="paragraph">
    <w:name w:val="heading 6"/>
    <w:basedOn w:val="Normal"/>
    <w:next w:val="Normal"/>
    <w:link w:val="Heading6Char"/>
    <w:uiPriority w:val="9"/>
    <w:semiHidden/>
    <w:unhideWhenUsed/>
    <w:qFormat/>
    <w:rsid w:val="00B31D39"/>
    <w:pPr>
      <w:keepNext/>
      <w:keepLines/>
      <w:spacing w:after="0" w:before="40"/>
      <w:outlineLvl w:val="5"/>
    </w:pPr>
    <w:rPr>
      <w:rFonts w:cstheme="majorBidi" w:eastAsiaTheme="majorEastAsia"/>
      <w:i/>
      <w:iCs/>
      <w:color w:themeColor="text1" w:themeTint="A6" w:val="595959"/>
    </w:rPr>
  </w:style>
  <w:style w:styleId="Heading7" w:type="paragraph">
    <w:name w:val="heading 7"/>
    <w:basedOn w:val="Normal"/>
    <w:next w:val="Normal"/>
    <w:link w:val="Heading7Char"/>
    <w:uiPriority w:val="9"/>
    <w:semiHidden/>
    <w:unhideWhenUsed/>
    <w:qFormat/>
    <w:rsid w:val="00B31D39"/>
    <w:pPr>
      <w:keepNext/>
      <w:keepLines/>
      <w:spacing w:after="0" w:before="40"/>
      <w:outlineLvl w:val="6"/>
    </w:pPr>
    <w:rPr>
      <w:rFonts w:cstheme="majorBidi" w:eastAsiaTheme="majorEastAsia"/>
      <w:color w:themeColor="text1" w:themeTint="A6" w:val="595959"/>
    </w:rPr>
  </w:style>
  <w:style w:styleId="Heading8" w:type="paragraph">
    <w:name w:val="heading 8"/>
    <w:basedOn w:val="Normal"/>
    <w:next w:val="Normal"/>
    <w:link w:val="Heading8Char"/>
    <w:uiPriority w:val="9"/>
    <w:semiHidden/>
    <w:unhideWhenUsed/>
    <w:qFormat/>
    <w:rsid w:val="00B31D39"/>
    <w:pPr>
      <w:keepNext/>
      <w:keepLines/>
      <w:spacing w:after="0"/>
      <w:outlineLvl w:val="7"/>
    </w:pPr>
    <w:rPr>
      <w:rFonts w:cstheme="majorBidi" w:eastAsiaTheme="majorEastAsia"/>
      <w:i/>
      <w:iCs/>
      <w:color w:themeColor="text1" w:themeTint="D8" w:val="272727"/>
    </w:rPr>
  </w:style>
  <w:style w:styleId="Heading9" w:type="paragraph">
    <w:name w:val="heading 9"/>
    <w:basedOn w:val="Normal"/>
    <w:next w:val="Normal"/>
    <w:link w:val="Heading9Char"/>
    <w:uiPriority w:val="9"/>
    <w:semiHidden/>
    <w:unhideWhenUsed/>
    <w:qFormat/>
    <w:rsid w:val="00B31D39"/>
    <w:pPr>
      <w:keepNext/>
      <w:keepLines/>
      <w:spacing w:after="0"/>
      <w:outlineLvl w:val="8"/>
    </w:pPr>
    <w:rPr>
      <w:rFonts w:cstheme="majorBidi" w:eastAsiaTheme="majorEastAsia"/>
      <w:color w:themeColor="text1" w:themeTint="D8" w:val="272727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B31D39"/>
    <w:rPr>
      <w:rFonts w:ascii="Calibri" w:cstheme="majorBidi" w:eastAsiaTheme="majorEastAsia" w:hAnsi="Calibri"/>
      <w:b/>
      <w:color w:themeColor="accent1" w:themeShade="BF" w:val="0F4761"/>
      <w:sz w:val="40"/>
      <w:szCs w:val="40"/>
    </w:rPr>
  </w:style>
  <w:style w:customStyle="1" w:styleId="Heading2Char" w:type="character">
    <w:name w:val="Heading 2 Char"/>
    <w:basedOn w:val="DefaultParagraphFont"/>
    <w:link w:val="Heading2"/>
    <w:uiPriority w:val="9"/>
    <w:rsid w:val="00FA1C42"/>
    <w:rPr>
      <w:rFonts w:ascii="Calibri" w:cstheme="majorBidi" w:eastAsiaTheme="majorEastAsia" w:hAnsi="Calibri"/>
      <w:b/>
      <w:color w:themeColor="accent1" w:themeShade="BF" w:val="0F4761"/>
      <w:sz w:val="32"/>
      <w:szCs w:val="32"/>
    </w:rPr>
  </w:style>
  <w:style w:customStyle="1" w:styleId="Heading3Char" w:type="character">
    <w:name w:val="Heading 3 Char"/>
    <w:basedOn w:val="DefaultParagraphFont"/>
    <w:link w:val="Heading3"/>
    <w:uiPriority w:val="9"/>
    <w:rsid w:val="00FA1C42"/>
    <w:rPr>
      <w:rFonts w:ascii="Calibri" w:cs="Times New Roman (Headings CS)" w:eastAsiaTheme="majorEastAsia" w:hAnsi="Calibri"/>
      <w:b/>
      <w:color w:themeColor="accent1" w:themeShade="BF" w:val="0F4761"/>
      <w:sz w:val="28"/>
      <w:szCs w:val="28"/>
    </w:rPr>
  </w:style>
  <w:style w:customStyle="1" w:styleId="Heading4Char" w:type="character">
    <w:name w:val="Heading 4 Char"/>
    <w:basedOn w:val="DefaultParagraphFont"/>
    <w:link w:val="Heading4"/>
    <w:uiPriority w:val="9"/>
    <w:semiHidden/>
    <w:rsid w:val="00B31D39"/>
    <w:rPr>
      <w:rFonts w:cstheme="majorBidi" w:eastAsiaTheme="majorEastAsia"/>
      <w:i/>
      <w:iCs/>
      <w:color w:themeColor="accent1" w:themeShade="BF" w:val="0F4761"/>
    </w:rPr>
  </w:style>
  <w:style w:customStyle="1" w:styleId="Heading5Char" w:type="character">
    <w:name w:val="Heading 5 Char"/>
    <w:basedOn w:val="DefaultParagraphFont"/>
    <w:link w:val="Heading5"/>
    <w:uiPriority w:val="9"/>
    <w:semiHidden/>
    <w:rsid w:val="00B31D39"/>
    <w:rPr>
      <w:rFonts w:cstheme="majorBidi" w:eastAsiaTheme="majorEastAsia"/>
      <w:color w:themeColor="accent1" w:themeShade="BF" w:val="0F4761"/>
    </w:rPr>
  </w:style>
  <w:style w:customStyle="1" w:styleId="Heading6Char" w:type="character">
    <w:name w:val="Heading 6 Char"/>
    <w:basedOn w:val="DefaultParagraphFont"/>
    <w:link w:val="Heading6"/>
    <w:uiPriority w:val="9"/>
    <w:semiHidden/>
    <w:rsid w:val="00B31D39"/>
    <w:rPr>
      <w:rFonts w:cstheme="majorBidi" w:eastAsiaTheme="majorEastAsia"/>
      <w:i/>
      <w:iCs/>
      <w:color w:themeColor="text1" w:themeTint="A6" w:val="595959"/>
    </w:rPr>
  </w:style>
  <w:style w:customStyle="1" w:styleId="Heading7Char" w:type="character">
    <w:name w:val="Heading 7 Char"/>
    <w:basedOn w:val="DefaultParagraphFont"/>
    <w:link w:val="Heading7"/>
    <w:uiPriority w:val="9"/>
    <w:semiHidden/>
    <w:rsid w:val="00B31D39"/>
    <w:rPr>
      <w:rFonts w:cstheme="majorBidi" w:eastAsiaTheme="majorEastAsia"/>
      <w:color w:themeColor="text1" w:themeTint="A6" w:val="595959"/>
    </w:rPr>
  </w:style>
  <w:style w:customStyle="1" w:styleId="Heading8Char" w:type="character">
    <w:name w:val="Heading 8 Char"/>
    <w:basedOn w:val="DefaultParagraphFont"/>
    <w:link w:val="Heading8"/>
    <w:uiPriority w:val="9"/>
    <w:semiHidden/>
    <w:rsid w:val="00B31D39"/>
    <w:rPr>
      <w:rFonts w:cstheme="majorBidi" w:eastAsiaTheme="majorEastAsia"/>
      <w:i/>
      <w:iCs/>
      <w:color w:themeColor="text1" w:themeTint="D8" w:val="272727"/>
    </w:rPr>
  </w:style>
  <w:style w:customStyle="1" w:styleId="Heading9Char" w:type="character">
    <w:name w:val="Heading 9 Char"/>
    <w:basedOn w:val="DefaultParagraphFont"/>
    <w:link w:val="Heading9"/>
    <w:uiPriority w:val="9"/>
    <w:semiHidden/>
    <w:rsid w:val="00B31D39"/>
    <w:rPr>
      <w:rFonts w:cstheme="majorBidi" w:eastAsiaTheme="majorEastAsia"/>
      <w:color w:themeColor="text1" w:themeTint="D8" w:val="272727"/>
    </w:rPr>
  </w:style>
  <w:style w:styleId="Title" w:type="paragraph">
    <w:name w:val="Title"/>
    <w:basedOn w:val="Normal"/>
    <w:next w:val="Normal"/>
    <w:link w:val="TitleChar"/>
    <w:uiPriority w:val="10"/>
    <w:qFormat/>
    <w:rsid w:val="00B31D39"/>
    <w:pPr>
      <w:spacing w:after="80" w:line="240" w:lineRule="auto"/>
      <w:contextualSpacing/>
    </w:pPr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customStyle="1" w:styleId="TitleChar" w:type="character">
    <w:name w:val="Title Char"/>
    <w:basedOn w:val="DefaultParagraphFont"/>
    <w:link w:val="Title"/>
    <w:uiPriority w:val="10"/>
    <w:rsid w:val="00B31D39"/>
    <w:rPr>
      <w:rFonts w:asciiTheme="majorHAnsi" w:cstheme="majorBidi" w:eastAsiaTheme="majorEastAsia" w:hAnsiTheme="majorHAnsi"/>
      <w:spacing w:val="-10"/>
      <w:kern w:val="28"/>
      <w:sz w:val="56"/>
      <w:szCs w:val="56"/>
    </w:rPr>
  </w:style>
  <w:style w:styleId="Subtitle" w:type="paragraph">
    <w:name w:val="Subtitle"/>
    <w:basedOn w:val="Normal"/>
    <w:next w:val="Normal"/>
    <w:link w:val="SubtitleChar"/>
    <w:uiPriority w:val="11"/>
    <w:qFormat/>
    <w:rsid w:val="00B31D39"/>
    <w:pPr>
      <w:numPr>
        <w:ilvl w:val="1"/>
      </w:numPr>
    </w:pPr>
    <w:rPr>
      <w:rFonts w:cstheme="majorBidi" w:eastAsiaTheme="majorEastAsia"/>
      <w:color w:themeColor="text1" w:themeTint="A6" w:val="595959"/>
      <w:spacing w:val="15"/>
      <w:sz w:val="28"/>
      <w:szCs w:val="28"/>
    </w:rPr>
  </w:style>
  <w:style w:customStyle="1" w:styleId="SubtitleChar" w:type="character">
    <w:name w:val="Subtitle Char"/>
    <w:basedOn w:val="DefaultParagraphFont"/>
    <w:link w:val="Subtitle"/>
    <w:uiPriority w:val="11"/>
    <w:rsid w:val="00B31D39"/>
    <w:rPr>
      <w:rFonts w:cstheme="majorBidi" w:eastAsiaTheme="majorEastAsia"/>
      <w:color w:themeColor="text1" w:themeTint="A6" w:val="595959"/>
      <w:spacing w:val="15"/>
      <w:sz w:val="28"/>
      <w:szCs w:val="28"/>
    </w:rPr>
  </w:style>
  <w:style w:styleId="Quote" w:type="paragraph">
    <w:name w:val="Quote"/>
    <w:basedOn w:val="Normal"/>
    <w:next w:val="Normal"/>
    <w:link w:val="QuoteChar"/>
    <w:uiPriority w:val="29"/>
    <w:qFormat/>
    <w:rsid w:val="00B31D39"/>
    <w:pPr>
      <w:spacing w:before="160"/>
      <w:jc w:val="center"/>
    </w:pPr>
    <w:rPr>
      <w:i/>
      <w:iCs/>
      <w:color w:themeColor="text1" w:themeTint="BF" w:val="404040"/>
    </w:rPr>
  </w:style>
  <w:style w:customStyle="1" w:styleId="QuoteChar" w:type="character">
    <w:name w:val="Quote Char"/>
    <w:basedOn w:val="DefaultParagraphFont"/>
    <w:link w:val="Quote"/>
    <w:uiPriority w:val="29"/>
    <w:rsid w:val="00B31D39"/>
    <w:rPr>
      <w:i/>
      <w:iCs/>
      <w:color w:themeColor="text1" w:themeTint="BF" w:val="404040"/>
    </w:rPr>
  </w:style>
  <w:style w:styleId="ListParagraph" w:type="paragraph">
    <w:name w:val="List Paragraph"/>
    <w:basedOn w:val="Normal"/>
    <w:uiPriority w:val="34"/>
    <w:qFormat/>
    <w:rsid w:val="00B31D39"/>
    <w:pPr>
      <w:ind w:left="720"/>
      <w:contextualSpacing/>
    </w:pPr>
  </w:style>
  <w:style w:styleId="IntenseEmphasis" w:type="character">
    <w:name w:val="Intense Emphasis"/>
    <w:basedOn w:val="DefaultParagraphFont"/>
    <w:uiPriority w:val="21"/>
    <w:qFormat/>
    <w:rsid w:val="00B31D39"/>
    <w:rPr>
      <w:i/>
      <w:iCs/>
      <w:color w:themeColor="accent1" w:themeShade="BF" w:val="0F4761"/>
    </w:rPr>
  </w:style>
  <w:style w:styleId="IntenseQuote" w:type="paragraph">
    <w:name w:val="Intense Quote"/>
    <w:basedOn w:val="Normal"/>
    <w:next w:val="Normal"/>
    <w:link w:val="IntenseQuoteChar"/>
    <w:uiPriority w:val="30"/>
    <w:qFormat/>
    <w:rsid w:val="00B31D39"/>
    <w:pPr>
      <w:pBdr>
        <w:top w:color="0F4761" w:space="10" w:sz="4" w:themeColor="accent1" w:themeShade="BF" w:val="single"/>
        <w:bottom w:color="0F4761" w:space="10" w:sz="4" w:themeColor="accent1" w:themeShade="BF" w:val="single"/>
      </w:pBdr>
      <w:spacing w:after="360" w:before="360"/>
      <w:ind w:left="864" w:right="864"/>
      <w:jc w:val="center"/>
    </w:pPr>
    <w:rPr>
      <w:i/>
      <w:iCs/>
      <w:color w:themeColor="accent1" w:themeShade="BF" w:val="0F4761"/>
    </w:rPr>
  </w:style>
  <w:style w:customStyle="1" w:styleId="IntenseQuoteChar" w:type="character">
    <w:name w:val="Intense Quote Char"/>
    <w:basedOn w:val="DefaultParagraphFont"/>
    <w:link w:val="IntenseQuote"/>
    <w:uiPriority w:val="30"/>
    <w:rsid w:val="00B31D39"/>
    <w:rPr>
      <w:i/>
      <w:iCs/>
      <w:color w:themeColor="accent1" w:themeShade="BF" w:val="0F4761"/>
    </w:rPr>
  </w:style>
  <w:style w:styleId="IntenseReference" w:type="character">
    <w:name w:val="Intense Reference"/>
    <w:basedOn w:val="DefaultParagraphFont"/>
    <w:uiPriority w:val="32"/>
    <w:qFormat/>
    <w:rsid w:val="00B31D39"/>
    <w:rPr>
      <w:b/>
      <w:bCs/>
      <w:smallCaps/>
      <w:color w:themeColor="accent1" w:themeShade="BF" w:val="0F4761"/>
      <w:spacing w:val="5"/>
    </w:rPr>
  </w:style>
  <w:style w:customStyle="1" w:styleId="CurrentList1" w:type="numbering">
    <w:name w:val="Current List1"/>
    <w:uiPriority w:val="99"/>
    <w:rsid w:val="00B31D39"/>
    <w:pPr>
      <w:numPr>
        <w:numId w:val="2"/>
      </w:numPr>
    </w:pPr>
  </w:style>
  <w:style w:customStyle="1" w:styleId="CurrentList2" w:type="numbering">
    <w:name w:val="Current List2"/>
    <w:uiPriority w:val="99"/>
    <w:rsid w:val="00B31D39"/>
    <w:pPr>
      <w:numPr>
        <w:numId w:val="4"/>
      </w:numPr>
    </w:pPr>
  </w:style>
  <w:style w:styleId="TableGrid" w:type="table">
    <w:name w:val="Table Grid"/>
    <w:basedOn w:val="TableNormal"/>
    <w:uiPriority w:val="39"/>
    <w:rsid w:val="008852B8"/>
    <w:pPr>
      <w:spacing w:after="0" w:line="240" w:lineRule="auto"/>
    </w:pPr>
    <w:rPr>
      <w:rFonts w:ascii="Calibri" w:hAnsi="Calibri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  <w:tblStylePr w:type="firstRow">
      <w:rPr>
        <w:b/>
      </w:rPr>
      <w:tblPr/>
      <w:tcPr>
        <w:shd w:color="auto" w:fill="A5C9EB" w:themeFill="text2" w:themeFillTint="40" w:val="clear"/>
      </w:tcPr>
    </w:tblStylePr>
  </w:style>
  <w:style w:styleId="PlainTable1" w:type="table">
    <w:name w:val="Plain Table 1"/>
    <w:basedOn w:val="TableNormal"/>
    <w:uiPriority w:val="41"/>
    <w:rsid w:val="00E820F7"/>
    <w:pPr>
      <w:spacing w:after="0" w:line="240" w:lineRule="auto"/>
    </w:pPr>
    <w:tblPr>
      <w:tblStyleRowBandSize w:val="1"/>
      <w:tblStyleColBandSize w:val="1"/>
      <w:tblBorders>
        <w:top w:color="BFBFBF" w:space="0" w:sz="4" w:themeColor="background1" w:themeShade="BF" w:val="single"/>
        <w:left w:color="BFBFBF" w:space="0" w:sz="4" w:themeColor="background1" w:themeShade="BF" w:val="single"/>
        <w:bottom w:color="BFBFBF" w:space="0" w:sz="4" w:themeColor="background1" w:themeShade="BF" w:val="single"/>
        <w:right w:color="BFBFBF" w:space="0" w:sz="4" w:themeColor="background1" w:themeShade="BF" w:val="single"/>
        <w:insideH w:color="BFBFBF" w:space="0" w:sz="4" w:themeColor="background1" w:themeShade="BF" w:val="single"/>
        <w:insideV w:color="BFBFBF" w:space="0" w:sz="4" w:themeColor="background1" w:themeShade="BF" w:val="single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FBFBF" w:space="0" w:sz="4" w:themeColor="background1" w:themeShade="BF" w:val="doub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2F2F2" w:themeFill="background1" w:themeFillShade="F2" w:val="clear"/>
      </w:tcPr>
    </w:tblStylePr>
    <w:tblStylePr w:type="band1Horz">
      <w:tblPr/>
      <w:tcPr>
        <w:shd w:color="auto" w:fill="F2F2F2" w:themeFill="background1" w:themeFillShade="F2" w:val="clear"/>
      </w:tcPr>
    </w:tblStylePr>
  </w:style>
  <w:style w:customStyle="1" w:styleId="SourceCode" w:type="paragraph">
    <w:name w:val="Source Code"/>
    <w:basedOn w:val="Normal"/>
    <w:pPr>
      <w:wordWrap w:val="0"/>
    </w:pPr>
  </w:style>
  <w:style w:customStyle="1" w:styleId="KeywordTok" w:type="character">
    <w:name w:val="KeywordTok"/>
    <w:rPr>
      <w:b/>
      <w:color w:val="007020"/>
    </w:rPr>
  </w:style>
  <w:style w:customStyle="1" w:styleId="DataTypeTok" w:type="character">
    <w:name w:val="DataTypeTok"/>
    <w:rPr>
      <w:color w:val="902000"/>
    </w:rPr>
  </w:style>
  <w:style w:customStyle="1" w:styleId="DecValTok" w:type="character">
    <w:name w:val="DecValTok"/>
    <w:rPr>
      <w:color w:val="40A070"/>
    </w:rPr>
  </w:style>
  <w:style w:customStyle="1" w:styleId="BaseNTok" w:type="character">
    <w:name w:val="BaseNTok"/>
    <w:rPr>
      <w:color w:val="40A070"/>
    </w:rPr>
  </w:style>
  <w:style w:customStyle="1" w:styleId="FloatTok" w:type="character">
    <w:name w:val="FloatTok"/>
    <w:rPr>
      <w:color w:val="40A070"/>
    </w:rPr>
  </w:style>
  <w:style w:customStyle="1" w:styleId="ConstantTok" w:type="character">
    <w:name w:val="ConstantTok"/>
    <w:rPr>
      <w:color w:val="880000"/>
    </w:rPr>
  </w:style>
  <w:style w:customStyle="1" w:styleId="CharTok" w:type="character">
    <w:name w:val="CharTok"/>
    <w:rPr>
      <w:color w:val="4070A0"/>
    </w:rPr>
  </w:style>
  <w:style w:customStyle="1" w:styleId="SpecialCharTok" w:type="character">
    <w:name w:val="SpecialCharTok"/>
    <w:rPr>
      <w:color w:val="4070A0"/>
    </w:rPr>
  </w:style>
  <w:style w:customStyle="1" w:styleId="StringTok" w:type="character">
    <w:name w:val="StringTok"/>
    <w:rPr>
      <w:color w:val="4070A0"/>
    </w:rPr>
  </w:style>
  <w:style w:customStyle="1" w:styleId="VerbatimStringTok" w:type="character">
    <w:name w:val="VerbatimStringTok"/>
    <w:rPr>
      <w:color w:val="4070A0"/>
    </w:rPr>
  </w:style>
  <w:style w:customStyle="1" w:styleId="SpecialStringTok" w:type="character">
    <w:name w:val="SpecialStringTok"/>
    <w:rPr>
      <w:color w:val="BB6688"/>
    </w:rPr>
  </w:style>
  <w:style w:customStyle="1" w:styleId="ImportTok" w:type="character">
    <w:name w:val="ImportTok"/>
    <w:rPr>
      <w:b/>
      <w:color w:val="008000"/>
    </w:rPr>
  </w:style>
  <w:style w:customStyle="1" w:styleId="CommentTok" w:type="character">
    <w:name w:val="CommentTok"/>
    <w:rPr>
      <w:i/>
      <w:color w:val="60A0B0"/>
    </w:rPr>
  </w:style>
  <w:style w:customStyle="1" w:styleId="DocumentationTok" w:type="character">
    <w:name w:val="DocumentationTok"/>
    <w:rPr>
      <w:i/>
      <w:color w:val="BA2121"/>
    </w:rPr>
  </w:style>
  <w:style w:customStyle="1" w:styleId="AnnotationTok" w:type="character">
    <w:name w:val="AnnotationTok"/>
    <w:rPr>
      <w:b/>
      <w:i/>
      <w:color w:val="60A0B0"/>
    </w:rPr>
  </w:style>
  <w:style w:customStyle="1" w:styleId="CommentVarTok" w:type="character">
    <w:name w:val="CommentVarTok"/>
    <w:rPr>
      <w:b/>
      <w:i/>
      <w:color w:val="60A0B0"/>
    </w:rPr>
  </w:style>
  <w:style w:customStyle="1" w:styleId="OtherTok" w:type="character">
    <w:name w:val="OtherTok"/>
    <w:rPr>
      <w:color w:val="007020"/>
    </w:rPr>
  </w:style>
  <w:style w:customStyle="1" w:styleId="FunctionTok" w:type="character">
    <w:name w:val="FunctionTok"/>
    <w:rPr>
      <w:color w:val="06287E"/>
    </w:rPr>
  </w:style>
  <w:style w:customStyle="1" w:styleId="VariableTok" w:type="character">
    <w:name w:val="VariableTok"/>
    <w:rPr>
      <w:color w:val="19177C"/>
    </w:rPr>
  </w:style>
  <w:style w:customStyle="1" w:styleId="ControlFlowTok" w:type="character">
    <w:name w:val="ControlFlowTok"/>
    <w:rPr>
      <w:b/>
      <w:color w:val="007020"/>
    </w:rPr>
  </w:style>
  <w:style w:customStyle="1" w:styleId="OperatorTok" w:type="character">
    <w:name w:val="OperatorTok"/>
    <w:rPr>
      <w:color w:val="666666"/>
    </w:rPr>
  </w:style>
  <w:style w:customStyle="1" w:styleId="BuiltInTok" w:type="character">
    <w:name w:val="BuiltInTok"/>
    <w:rPr>
      <w:color w:val="008000"/>
    </w:rPr>
  </w:style>
  <w:style w:customStyle="1" w:styleId="ExtensionTok" w:type="character">
    <w:name w:val="ExtensionTok"/>
  </w:style>
  <w:style w:customStyle="1" w:styleId="PreprocessorTok" w:type="character">
    <w:name w:val="PreprocessorTok"/>
    <w:rPr>
      <w:color w:val="BC7A00"/>
    </w:rPr>
  </w:style>
  <w:style w:customStyle="1" w:styleId="AttributeTok" w:type="character">
    <w:name w:val="AttributeTok"/>
    <w:rPr>
      <w:color w:val="7D9029"/>
    </w:rPr>
  </w:style>
  <w:style w:customStyle="1" w:styleId="RegionMarkerTok" w:type="character">
    <w:name w:val="RegionMarkerTok"/>
  </w:style>
  <w:style w:customStyle="1" w:styleId="InformationTok" w:type="character">
    <w:name w:val="InformationTok"/>
    <w:rPr>
      <w:b/>
      <w:i/>
      <w:color w:val="60A0B0"/>
    </w:rPr>
  </w:style>
  <w:style w:customStyle="1" w:styleId="WarningTok" w:type="character">
    <w:name w:val="WarningTok"/>
    <w:rPr>
      <w:b/>
      <w:i/>
      <w:color w:val="60A0B0"/>
    </w:rPr>
  </w:style>
  <w:style w:customStyle="1" w:styleId="AlertTok" w:type="character">
    <w:name w:val="AlertTok"/>
    <w:rPr>
      <w:b/>
      <w:color w:val="FF0000"/>
    </w:rPr>
  </w:style>
  <w:style w:customStyle="1" w:styleId="ErrorTok" w:type="character">
    <w:name w:val="ErrorTok"/>
    <w:rPr>
      <w:b/>
      <w:color w:val="FF0000"/>
    </w:rPr>
  </w:style>
  <w:style w:customStyle="1" w:styleId="NormalTok" w:type="character">
    <w:name w:val="NormalTok"/>
  </w:style>
  <w:style w:styleId="Hyperlink" w:type="character">
    <w:name w:val="Hyperlink"/>
    <w:basedOn w:val="DefaultParagraphFont"/>
    <w:uiPriority w:val="99"/>
    <w:unhideWhenUsed/>
    <w:rsid w:val="008662B7"/>
    <w:rPr>
      <w:color w:themeColor="hyperlink" w:val="467886"/>
      <w:u w:val="single"/>
    </w:rPr>
  </w:style>
  <w:style w:styleId="UnresolvedMention" w:type="character">
    <w:name w:val="Unresolved Mention"/>
    <w:basedOn w:val="DefaultParagraphFont"/>
    <w:uiPriority w:val="99"/>
    <w:semiHidden/>
    <w:unhideWhenUsed/>
    <w:rsid w:val="008662B7"/>
    <w:rPr>
      <w:color w:val="605E5C"/>
      <w:shd w:color="auto" w:fill="E1DFDD" w:val="clea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7" Type="http://schemas.openxmlformats.org/officeDocument/2006/relationships/footnotes" Target="footnotes.xml"/><Relationship Id="rId8" Type="http://schemas.openxmlformats.org/officeDocument/2006/relationships/comments" Target="comments.xml"/><Relationship Id="rId23" Type="http://schemas.openxmlformats.org/officeDocument/2006/relationships/image" Target="media/rId23.png"/><Relationship Id="rId20" Type="http://schemas.openxmlformats.org/officeDocument/2006/relationships/image" Target="media/rId20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38</Words>
  <Characters>167</Characters>
  <Application>Microsoft Office Word</Application>
  <DocSecurity>0</DocSecurity>
  <Lines>16</Lines>
  <Paragraphs>18</Paragraphs>
  <ScaleCrop>false</ScaleCrop>
  <Company/>
  <LinksUpToDate>false</LinksUpToDate>
  <CharactersWithSpaces>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keywords/>
  <dcterms:created xsi:type="dcterms:W3CDTF">2026-07-06T11:25:50Z</dcterms:created>
  <dcterms:modified xsi:type="dcterms:W3CDTF">2026-07-06T11:25:50Z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