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methanolvwr20847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VWR International Ltd.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2026-07-06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0.7.1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methanolvwr20847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57" w:name="analyse-des-dangers-methanolvwr20847"/>
    <w:p>
      <w:pPr>
        <w:pStyle w:val="Heading1"/>
      </w:pPr>
      <w:r>
        <w:t xml:space="preserve">Analyse des dangers : methanolvwr20847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methanolvwr20847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VWR International Ltd.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Utilisations identifiées pertinentes : réactif chimique général.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2022-08-24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2022-08-24. Elle a donc 3 an(s).</w:t>
      </w:r>
      <w:r>
        <w:t xml:space="preserve"> </w:t>
      </w:r>
      <w:r>
        <w:t xml:space="preserve">La FDS ayant plus de 3 ans, il est</w:t>
      </w:r>
      <w:r>
        <w:t xml:space="preserve"> </w:t>
      </w:r>
      <w:r>
        <w:rPr>
          <w:i/>
          <w:iCs/>
        </w:rPr>
        <w:t xml:space="preserve">recommandé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a identifié les erreurs de classification potentielles suivantes dans la FDS :</w:t>
      </w:r>
    </w:p>
    <w:p>
      <w:pPr>
        <w:pStyle w:val="Compact"/>
        <w:numPr>
          <w:ilvl w:val="0"/>
          <w:numId w:val="1003"/>
        </w:numPr>
      </w:pPr>
      <w:r>
        <w:t xml:space="preserve">Substance Ethanol should be classified H225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Ethanol should be classified H301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Ethanol should be classified H311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Ethanol should be classified H331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Ethanol should be classified H370** according to the latest ECHA harmonised classifications</w:t>
      </w:r>
    </w:p>
    <w:bookmarkEnd w:id="28"/>
    <w:bookmarkEnd w:id="29"/>
    <w:bookmarkStart w:id="39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Inflammable" title="" id="31" name="Picture"/>
            <a:graphic>
              <a:graphicData uri="http://schemas.openxmlformats.org/drawingml/2006/picture">
                <pic:pic>
                  <pic:nvPicPr>
                    <pic:cNvPr descr="templates/SGH02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Inflammable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Toxicité aiguë" title="" id="34" name="Picture"/>
            <a:graphic>
              <a:graphicData uri="http://schemas.openxmlformats.org/drawingml/2006/picture">
                <pic:pic>
                  <pic:nvPicPr>
                    <pic:cNvPr descr="templates/SGH06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Toxicité aiguë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Grave pour la santé" title="" id="37" name="Picture"/>
            <a:graphic>
              <a:graphicData uri="http://schemas.openxmlformats.org/drawingml/2006/picture">
                <pic:pic>
                  <pic:nvPicPr>
                    <pic:cNvPr descr="templates/SGH08.png" id="38" name="Picture"/>
                    <pic:cNvPicPr>
                      <a:picLocks noChangeArrowheads="1"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Grave pour la santé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H225</w:t>
      </w:r>
      <w:r>
        <w:t xml:space="preserve"> </w:t>
      </w:r>
      <w:r>
        <w:t xml:space="preserve">Liquides et vapeurs très inflammables.</w:t>
      </w:r>
    </w:p>
    <w:p>
      <w:pPr>
        <w:numPr>
          <w:ilvl w:val="0"/>
          <w:numId w:val="1004"/>
        </w:numPr>
      </w:pPr>
      <w:r>
        <w:t xml:space="preserve">H301</w:t>
      </w:r>
      <w:r>
        <w:t xml:space="preserve"> </w:t>
      </w:r>
      <w:r>
        <w:t xml:space="preserve">Toxique en cas d’ingestion.</w:t>
      </w:r>
    </w:p>
    <w:p>
      <w:pPr>
        <w:numPr>
          <w:ilvl w:val="0"/>
          <w:numId w:val="1004"/>
        </w:numPr>
      </w:pPr>
      <w:r>
        <w:t xml:space="preserve">H311</w:t>
      </w:r>
      <w:r>
        <w:t xml:space="preserve"> </w:t>
      </w:r>
      <w:r>
        <w:t xml:space="preserve">Toxique par contact cutané.</w:t>
      </w:r>
    </w:p>
    <w:p>
      <w:pPr>
        <w:numPr>
          <w:ilvl w:val="0"/>
          <w:numId w:val="1004"/>
        </w:numPr>
      </w:pPr>
      <w:r>
        <w:t xml:space="preserve">H331</w:t>
      </w:r>
      <w:r>
        <w:t xml:space="preserve"> </w:t>
      </w:r>
      <w:r>
        <w:t xml:space="preserve">Toxique par inhalation.</w:t>
      </w:r>
    </w:p>
    <w:p>
      <w:pPr>
        <w:numPr>
          <w:ilvl w:val="0"/>
          <w:numId w:val="1004"/>
        </w:numPr>
      </w:pPr>
      <w:r>
        <w:t xml:space="preserve">H370</w:t>
      </w:r>
      <w:r>
        <w:t xml:space="preserve"> </w:t>
      </w:r>
      <w:r>
        <w:t xml:space="preserve">Risque avéré d’effets graves pour les organes.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5"/>
        </w:numPr>
      </w:pPr>
      <w:r>
        <w:t xml:space="preserve">P210</w:t>
      </w:r>
      <w:r>
        <w:t xml:space="preserve"> </w:t>
      </w:r>
      <w:r>
        <w:t xml:space="preserve">P210</w:t>
      </w:r>
    </w:p>
    <w:p>
      <w:pPr>
        <w:numPr>
          <w:ilvl w:val="0"/>
          <w:numId w:val="1005"/>
        </w:numPr>
      </w:pPr>
      <w:r>
        <w:t xml:space="preserve">P243</w:t>
      </w:r>
      <w:r>
        <w:t xml:space="preserve"> </w:t>
      </w:r>
      <w:r>
        <w:t xml:space="preserve">Prendre des mesures de précaution contre les décharges électrostatiques.</w:t>
      </w:r>
    </w:p>
    <w:p>
      <w:pPr>
        <w:numPr>
          <w:ilvl w:val="0"/>
          <w:numId w:val="1005"/>
        </w:numPr>
      </w:pPr>
      <w:r>
        <w:t xml:space="preserve">P280</w:t>
      </w:r>
      <w:r>
        <w:t xml:space="preserve"> </w:t>
      </w:r>
      <w:r>
        <w:t xml:space="preserve">Porter des gants de protection, des vêtements de protection, un équipement de protection des yeux et du visage.</w:t>
      </w:r>
    </w:p>
    <w:p>
      <w:pPr>
        <w:numPr>
          <w:ilvl w:val="0"/>
          <w:numId w:val="1005"/>
        </w:numPr>
      </w:pPr>
      <w:r>
        <w:t xml:space="preserve">P302+P352</w:t>
      </w:r>
      <w:r>
        <w:t xml:space="preserve"> </w:t>
      </w:r>
      <w:r>
        <w:t xml:space="preserve">EN CAS DE CONTACT AVEC LA PEAU :</w:t>
      </w:r>
    </w:p>
    <w:p>
      <w:pPr>
        <w:numPr>
          <w:ilvl w:val="0"/>
          <w:numId w:val="1005"/>
        </w:numPr>
      </w:pPr>
      <w:r>
        <w:t xml:space="preserve">P304+P340</w:t>
      </w:r>
      <w:r>
        <w:t xml:space="preserve"> </w:t>
      </w:r>
      <w:r>
        <w:t xml:space="preserve">EN CAS D’INHALATION :</w:t>
      </w:r>
    </w:p>
    <w:p>
      <w:pPr>
        <w:numPr>
          <w:ilvl w:val="0"/>
          <w:numId w:val="1005"/>
        </w:numPr>
      </w:pPr>
      <w:r>
        <w:t xml:space="preserve">P308+P310</w:t>
      </w:r>
      <w:r>
        <w:t xml:space="preserve"> </w:t>
      </w:r>
      <w:r>
        <w:t xml:space="preserve">En cas d’exposition prouvée ou suspectée :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6"/>
        </w:numPr>
      </w:pPr>
      <w:r>
        <w:t xml:space="preserve">ADR : 3 (6,1)</w:t>
      </w:r>
    </w:p>
    <w:p>
      <w:pPr>
        <w:pStyle w:val="Compact"/>
        <w:numPr>
          <w:ilvl w:val="0"/>
          <w:numId w:val="1006"/>
        </w:numPr>
      </w:pPr>
      <w:r>
        <w:t xml:space="preserve">RID : 3 (6,1)</w:t>
      </w:r>
    </w:p>
    <w:p>
      <w:pPr>
        <w:pStyle w:val="Compact"/>
        <w:numPr>
          <w:ilvl w:val="0"/>
          <w:numId w:val="1006"/>
        </w:numPr>
      </w:pPr>
      <w:r>
        <w:t xml:space="preserve">ADN : Please provide the text you would like me to translate into French.</w:t>
      </w:r>
    </w:p>
    <w:p>
      <w:pPr>
        <w:pStyle w:val="Compact"/>
        <w:numPr>
          <w:ilvl w:val="0"/>
          <w:numId w:val="1006"/>
        </w:numPr>
      </w:pPr>
      <w:r>
        <w:t xml:space="preserve">IMDG : 3 (6,1)</w:t>
      </w:r>
    </w:p>
    <w:p>
      <w:pPr>
        <w:pStyle w:val="Compact"/>
        <w:numPr>
          <w:ilvl w:val="0"/>
          <w:numId w:val="1006"/>
        </w:numPr>
      </w:pPr>
      <w:r>
        <w:t xml:space="preserve">IATA : 3 (6,1)</w:t>
      </w:r>
    </w:p>
    <w:p>
      <w:pPr>
        <w:pStyle w:val="Compact"/>
        <w:numPr>
          <w:ilvl w:val="0"/>
          <w:numId w:val="1006"/>
        </w:numPr>
      </w:pPr>
      <w:r>
        <w:t xml:space="preserve">UN : 1230</w:t>
      </w:r>
    </w:p>
    <w:bookmarkEnd w:id="39"/>
    <w:bookmarkStart w:id="40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peau : Contact cutané</w:t>
      </w:r>
      <w:r>
        <w:t xml:space="preserve"> </w:t>
      </w:r>
      <w:r>
        <w:t xml:space="preserve">• Lavez la zone touchée immédiatement à l’eau et au savon en abondance.</w:t>
      </w:r>
      <w:r>
        <w:t xml:space="preserve"> </w:t>
      </w:r>
      <w:r>
        <w:t xml:space="preserve">• Retirez les vêtements contaminés et saturés immédiatement.</w:t>
      </w:r>
      <w:r>
        <w:t xml:space="preserve"> </w:t>
      </w:r>
      <w:r>
        <w:t xml:space="preserve">• En cas de réactions cutanées, consultez un médecin.</w:t>
      </w:r>
    </w:p>
    <w:p>
      <w:pPr>
        <w:pStyle w:val="BodyText"/>
      </w:pPr>
      <w:r>
        <w:t xml:space="preserve">yeux : Contact visuel</w:t>
      </w:r>
      <w:r>
        <w:t xml:space="preserve"> </w:t>
      </w:r>
      <w:r>
        <w:t xml:space="preserve">• Rincez immédiatement l’œil(les yeux) abondamment à l’eau courante pendant 10 à 15 minutes en maintenant les paupières écartées.</w:t>
      </w:r>
      <w:r>
        <w:t xml:space="preserve"> </w:t>
      </w:r>
      <w:r>
        <w:t xml:space="preserve">• Retirez les lentilles de contact si elles sont présentes et faciles à retirer.</w:t>
      </w:r>
      <w:r>
        <w:t xml:space="preserve"> </w:t>
      </w:r>
      <w:r>
        <w:t xml:space="preserve">• Continuez le rinçage et consultez un ophtalmologiste ; protégez l’œil non blessé.</w:t>
      </w:r>
    </w:p>
    <w:p>
      <w:pPr>
        <w:pStyle w:val="BodyText"/>
      </w:pPr>
      <w:r>
        <w:t xml:space="preserve">ingestion : Ingestion</w:t>
      </w:r>
      <w:r>
        <w:t xml:space="preserve"> </w:t>
      </w:r>
      <w:r>
        <w:t xml:space="preserve">• Appelez immédiatement un centre antipoison/un médecin.</w:t>
      </w:r>
      <w:r>
        <w:t xml:space="preserve"> </w:t>
      </w:r>
      <w:r>
        <w:t xml:space="preserve">• Ne provoquez pas de vomissements.</w:t>
      </w:r>
      <w:r>
        <w:t xml:space="preserve"> </w:t>
      </w:r>
      <w:r>
        <w:t xml:space="preserve">• Rincez abondamment la bouche à l’eau.</w:t>
      </w:r>
      <w:r>
        <w:t xml:space="preserve"> </w:t>
      </w:r>
      <w:r>
        <w:t xml:space="preserve">• Ne donnez rien à manger ni à boire.</w:t>
      </w:r>
    </w:p>
    <w:p>
      <w:pPr>
        <w:pStyle w:val="BodyText"/>
      </w:pPr>
      <w:r>
        <w:t xml:space="preserve">inhalation : Inhalation</w:t>
      </w:r>
      <w:r>
        <w:t xml:space="preserve"> </w:t>
      </w:r>
      <w:r>
        <w:t xml:space="preserve">• Appelez immédiatement un centre antipoison/un médecin.</w:t>
      </w:r>
      <w:r>
        <w:t xml:space="preserve"> </w:t>
      </w:r>
      <w:r>
        <w:t xml:space="preserve">• Déplacez la personne à l’air frais et gardez-la au chaud et au repos.</w:t>
      </w:r>
      <w:r>
        <w:t xml:space="preserve"> </w:t>
      </w:r>
      <w:r>
        <w:t xml:space="preserve">• Si la respiration est irrégulière ou s’arrête, pratiquez la respiration artificielle.</w:t>
      </w:r>
    </w:p>
    <w:p>
      <w:r>
        <w:br w:type="page"/>
      </w:r>
    </w:p>
    <w:bookmarkEnd w:id="40"/>
    <w:bookmarkStart w:id="54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2" w:name="Xc263759d7253c142fb49ab3c5f1e2f3953019a2"/>
    <w:p>
      <w:pPr>
        <w:pStyle w:val="Heading3"/>
      </w:pPr>
      <w:r>
        <w:t xml:space="preserve">Methanol AnalaR NORMAPUR® Reag. Ph.Eur., ACS Analytical Reagent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7"/>
        </w:numPr>
      </w:pPr>
      <w:r>
        <w:t xml:space="preserve">N° CAS : 67-66-1</w:t>
      </w:r>
    </w:p>
    <w:p>
      <w:pPr>
        <w:pStyle w:val="Compact"/>
        <w:numPr>
          <w:ilvl w:val="0"/>
          <w:numId w:val="1007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:de 3,0 à 10,0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8"/>
        </w:numPr>
      </w:pPr>
      <w:r>
        <w:t xml:space="preserve">H370</w:t>
      </w:r>
      <w:r>
        <w:t xml:space="preserve"> </w:t>
      </w:r>
      <w:r>
        <w:t xml:space="preserve">Risque avéré d’effets graves pour les organes.</w:t>
      </w:r>
    </w:p>
    <w:p>
      <w:pPr>
        <w:numPr>
          <w:ilvl w:val="0"/>
          <w:numId w:val="1008"/>
        </w:numPr>
      </w:pPr>
      <w:r>
        <w:t xml:space="preserve">H371</w:t>
      </w:r>
      <w:r>
        <w:t xml:space="preserve"> </w:t>
      </w:r>
      <w:r>
        <w:t xml:space="preserve">Risque présumé d’effets graves pour les organes.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1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1"/>
    <w:bookmarkEnd w:id="42"/>
    <w:bookmarkStart w:id="53" w:name="ethanol"/>
    <w:p>
      <w:pPr>
        <w:pStyle w:val="Heading3"/>
      </w:pPr>
      <w:r>
        <w:t xml:space="preserve">Ethanol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9"/>
        </w:numPr>
      </w:pPr>
      <w:r>
        <w:t xml:space="preserve">N° CAS : 67-56-1</w:t>
      </w:r>
    </w:p>
    <w:p>
      <w:pPr>
        <w:pStyle w:val="Compact"/>
        <w:numPr>
          <w:ilvl w:val="0"/>
          <w:numId w:val="1009"/>
        </w:numPr>
      </w:pPr>
      <w:r>
        <w:t xml:space="preserve">N° EINECS : 200-659-6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:de 0,0 à 0,0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0"/>
        </w:numPr>
      </w:pPr>
      <w:r>
        <w:t xml:space="preserve">H225</w:t>
      </w:r>
      <w:r>
        <w:t xml:space="preserve"> </w:t>
      </w:r>
      <w:r>
        <w:t xml:space="preserve">Liquides et vapeurs très inflammables.</w:t>
      </w:r>
    </w:p>
    <w:p>
      <w:pPr>
        <w:numPr>
          <w:ilvl w:val="0"/>
          <w:numId w:val="1010"/>
        </w:numPr>
      </w:pPr>
      <w:r>
        <w:t xml:space="preserve">H301</w:t>
      </w:r>
      <w:r>
        <w:t xml:space="preserve"> </w:t>
      </w:r>
      <w:r>
        <w:t xml:space="preserve">Toxique en cas d’ingestion.</w:t>
      </w:r>
    </w:p>
    <w:p>
      <w:pPr>
        <w:numPr>
          <w:ilvl w:val="0"/>
          <w:numId w:val="1010"/>
        </w:numPr>
      </w:pPr>
      <w:r>
        <w:t xml:space="preserve">H311</w:t>
      </w:r>
      <w:r>
        <w:t xml:space="preserve"> </w:t>
      </w:r>
      <w:r>
        <w:t xml:space="preserve">Toxique par contact cutané.</w:t>
      </w:r>
    </w:p>
    <w:p>
      <w:pPr>
        <w:numPr>
          <w:ilvl w:val="0"/>
          <w:numId w:val="1010"/>
        </w:numPr>
      </w:pPr>
      <w:r>
        <w:t xml:space="preserve">H331</w:t>
      </w:r>
      <w:r>
        <w:t xml:space="preserve"> </w:t>
      </w:r>
      <w:r>
        <w:t xml:space="preserve">Toxique par inhalation.</w:t>
      </w:r>
    </w:p>
    <w:p>
      <w:pPr>
        <w:numPr>
          <w:ilvl w:val="0"/>
          <w:numId w:val="1010"/>
        </w:numPr>
      </w:pPr>
      <w:r>
        <w:t xml:space="preserve">H370**</w:t>
      </w:r>
      <w:r>
        <w:t xml:space="preserve"> </w:t>
      </w:r>
      <w:r>
        <w:t xml:space="preserve">Risque avéré d’effets graves pour les organes.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200.0 - VLE-8h (mg/m³) : 266.0 - VLE-15min (ppm) : 250.0 - VLE-15min (mg/m³) : 333.0</w:t>
            </w:r>
          </w:p>
        </w:tc>
      </w:tr>
    </w:tbl>
    <w:bookmarkStart w:id="52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3">
        <w:r>
          <w:rPr>
            <w:rStyle w:val="Hyperlink"/>
            <w:color w:val="0856A0"/>
            <w:u w:val="single"/>
          </w:rPr>
          <w:t xml:space="preserve">FICHEFévrier 2018Fiche n°5 - MéthanolFiche présentant l’essentiel des données d’hygiène et de sécurité relatives à« Méthanol »avec un rappel de la réglementation française et des recommandations techniques et médicales.En savoir plus</w:t>
        </w:r>
      </w:hyperlink>
    </w:p>
    <w:p>
      <w:pPr>
        <w:numPr>
          <w:ilvl w:val="0"/>
          <w:numId w:val="1011"/>
        </w:numPr>
      </w:pPr>
      <w:hyperlink r:id="rId44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1"/>
        </w:numPr>
      </w:pPr>
      <w:hyperlink r:id="rId45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1"/>
        </w:numPr>
      </w:pPr>
      <w:hyperlink r:id="rId46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1"/>
        </w:numPr>
      </w:pPr>
      <w:hyperlink r:id="rId47">
        <w:r>
          <w:rPr>
            <w:rStyle w:val="Hyperlink"/>
            <w:color w:val="0856A0"/>
            <w:u w:val="single"/>
          </w:rPr>
          <w:t xml:space="preserve">Incendie - Explosion[1-4, 7, 8]</w:t>
        </w:r>
      </w:hyperlink>
    </w:p>
    <w:p>
      <w:pPr>
        <w:numPr>
          <w:ilvl w:val="0"/>
          <w:numId w:val="1011"/>
        </w:numPr>
      </w:pPr>
      <w:hyperlink r:id="rId48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1"/>
        </w:numPr>
      </w:pPr>
      <w:hyperlink r:id="rId49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1"/>
        </w:numPr>
      </w:pPr>
      <w:hyperlink r:id="rId50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1"/>
        </w:numPr>
      </w:pPr>
      <w:hyperlink r:id="rId51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2"/>
    <w:bookmarkEnd w:id="53"/>
    <w:bookmarkEnd w:id="54"/>
    <w:bookmarkStart w:id="55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– contact manuel à court terme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des yeux/du visage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respiratoire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</w:t>
            </w:r>
          </w:p>
        </w:tc>
      </w:tr>
    </w:tbl>
    <w:bookmarkEnd w:id="55"/>
    <w:bookmarkStart w:id="56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Évitez l’inhalation du produit. - Évitez tout contact avec les yeux et la peau. - Portez des gants de protection, des vêtements de protection et une protection des yeux/du visage. - Utilisez une hotte aspirante (laboratoire). - Si le produit est manipulé à découvert, prévoyez une ventilation locale par aspiration. - Si la ventilation locale par aspiration n’est pas possible ou insuffisante, ventilez tout l’espace de travail par des moyens techniques. - Tenez éloigné de la chaleur, des surfaces chaudes, des étincelles, des flammes ouvertes et autres sources d’ignition ; interdit de fumer. - Prenez des mesures de précaution contre les décharges électrostatiques. - Utilisez les mesures habituelles de prévention des incendies. - En raison du risque d’explosion, empêchez les fuites de vapeurs dans les caves, les conduits de fumée et les fossés. - Lavez-vous les mains avant les pauses et après le travail. - Évitez tout contact avec les yeux et la peau ; ne mangez pas, ne buvez pas et ne fumez pas lors de l’utilisation. - Prévoyez une douche oculaire et indiquez clairement son emplacement.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Température de stockage recommandée : 15 – 25 °C - Classe de stockage : 3 - Garder le récipient bien fermé et dans un endroit bien ventilé. - Garder au frais et protéger de la lumière du soleil. - Ranger dans un endroit accessible uniquement aux personnes autorisées. - Tenir éloigné des matières combustibles. - Mises à la terre et liaisons équipotentielles du récipient et de l’équipement de réception. - Assurer une ventilation adéquate.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Utilisations identifiées pertinentes : réactif chimique général.</w:t>
            </w:r>
          </w:p>
        </w:tc>
      </w:tr>
    </w:tbl>
    <w:bookmarkEnd w:id="56"/>
    <w:bookmarkEnd w:id="57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5D4391"/>
    <w:rsid w:val="006148BD"/>
    <w:rsid w:val="00666DED"/>
    <w:rsid w:val="008165A3"/>
    <w:rsid w:val="00860E1D"/>
    <w:rsid w:val="008662B7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Hyperlink" w:type="character">
    <w:name w:val="Hyperlink"/>
    <w:basedOn w:val="DefaultParagraphFont"/>
    <w:uiPriority w:val="99"/>
    <w:unhideWhenUsed/>
    <w:rsid w:val="008662B7"/>
    <w:rPr>
      <w:color w:themeColor="hyperlink" w:val="467886"/>
      <w:u w:val="single"/>
    </w:rPr>
  </w:style>
  <w:style w:styleId="UnresolvedMention" w:type="character">
    <w:name w:val="Unresolved Mention"/>
    <w:basedOn w:val="DefaultParagraphFont"/>
    <w:uiPriority w:val="99"/>
    <w:semiHidden/>
    <w:unhideWhenUsed/>
    <w:rsid w:val="008662B7"/>
    <w:rPr>
      <w:color w:val="605E5C"/>
      <w:shd w:color="auto" w:fill="E1DFDD" w:val="cle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36" Type="http://schemas.openxmlformats.org/officeDocument/2006/relationships/image" Target="media/rId36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43" Type="http://schemas.openxmlformats.org/officeDocument/2006/relationships/hyperlink" Target="https://www.inrs.fr/accueil/publications/bdd/fichetox/fiche.html?refINRS=FICHETOX_5" TargetMode="External"/><Relationship Id="rId46" Type="http://schemas.openxmlformats.org/officeDocument/2006/relationships/hyperlink" Target="https://www.inrs.fr/accueil/publications/bdd/fichetox/fiche.html?refINRS=FICHETOX_5&amp;section=VLEPMesurage" TargetMode="External"/><Relationship Id="rId51" Type="http://schemas.openxmlformats.org/officeDocument/2006/relationships/hyperlink" Target="https://www.inrs.fr/accueil/publications/bdd/fichetox/fiche.html?refINRS=FICHETOX_5&amp;section=bibliographieAuteurs" TargetMode="External"/><Relationship Id="rId45" Type="http://schemas.openxmlformats.org/officeDocument/2006/relationships/hyperlink" Target="https://www.inrs.fr/accueil/publications/bdd/fichetox/fiche.html?refINRS=FICHETOX_5&amp;section=caracteristiques" TargetMode="External"/><Relationship Id="rId44" Type="http://schemas.openxmlformats.org/officeDocument/2006/relationships/hyperlink" Target="https://www.inrs.fr/accueil/publications/bdd/fichetox/fiche.html?refINRS=FICHETOX_5&amp;section=generalites" TargetMode="External"/><Relationship Id="rId47" Type="http://schemas.openxmlformats.org/officeDocument/2006/relationships/hyperlink" Target="https://www.inrs.fr/accueil/publications/bdd/fichetox/fiche.html?refINRS=FICHETOX_5&amp;section=incendieExplosion" TargetMode="External"/><Relationship Id="rId48" Type="http://schemas.openxmlformats.org/officeDocument/2006/relationships/hyperlink" Target="https://www.inrs.fr/accueil/publications/bdd/fichetox/fiche.html?refINRS=FICHETOX_5&amp;section=pathologieToxicologie" TargetMode="External"/><Relationship Id="rId50" Type="http://schemas.openxmlformats.org/officeDocument/2006/relationships/hyperlink" Target="https://www.inrs.fr/accueil/publications/bdd/fichetox/fiche.html?refINRS=FICHETOX_5&amp;section=recommandations" TargetMode="External"/><Relationship Id="rId49" Type="http://schemas.openxmlformats.org/officeDocument/2006/relationships/hyperlink" Target="https://www.inrs.fr/accueil/publications/bdd/fichetox/fiche.html?refINRS=FICHETOX_5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43" Type="http://schemas.openxmlformats.org/officeDocument/2006/relationships/hyperlink" Target="https://www.inrs.fr/accueil/publications/bdd/fichetox/fiche.html?refINRS=FICHETOX_5" TargetMode="External"/><Relationship Id="rId46" Type="http://schemas.openxmlformats.org/officeDocument/2006/relationships/hyperlink" Target="https://www.inrs.fr/accueil/publications/bdd/fichetox/fiche.html?refINRS=FICHETOX_5&amp;section=VLEPMesurage" TargetMode="External"/><Relationship Id="rId51" Type="http://schemas.openxmlformats.org/officeDocument/2006/relationships/hyperlink" Target="https://www.inrs.fr/accueil/publications/bdd/fichetox/fiche.html?refINRS=FICHETOX_5&amp;section=bibliographieAuteurs" TargetMode="External"/><Relationship Id="rId45" Type="http://schemas.openxmlformats.org/officeDocument/2006/relationships/hyperlink" Target="https://www.inrs.fr/accueil/publications/bdd/fichetox/fiche.html?refINRS=FICHETOX_5&amp;section=caracteristiques" TargetMode="External"/><Relationship Id="rId44" Type="http://schemas.openxmlformats.org/officeDocument/2006/relationships/hyperlink" Target="https://www.inrs.fr/accueil/publications/bdd/fichetox/fiche.html?refINRS=FICHETOX_5&amp;section=generalites" TargetMode="External"/><Relationship Id="rId47" Type="http://schemas.openxmlformats.org/officeDocument/2006/relationships/hyperlink" Target="https://www.inrs.fr/accueil/publications/bdd/fichetox/fiche.html?refINRS=FICHETOX_5&amp;section=incendieExplosion" TargetMode="External"/><Relationship Id="rId48" Type="http://schemas.openxmlformats.org/officeDocument/2006/relationships/hyperlink" Target="https://www.inrs.fr/accueil/publications/bdd/fichetox/fiche.html?refINRS=FICHETOX_5&amp;section=pathologieToxicologie" TargetMode="External"/><Relationship Id="rId50" Type="http://schemas.openxmlformats.org/officeDocument/2006/relationships/hyperlink" Target="https://www.inrs.fr/accueil/publications/bdd/fichetox/fiche.html?refINRS=FICHETOX_5&amp;section=recommandations" TargetMode="External"/><Relationship Id="rId49" Type="http://schemas.openxmlformats.org/officeDocument/2006/relationships/hyperlink" Target="https://www.inrs.fr/accueil/publications/bdd/fichetox/fiche.html?refINRS=FICHETOX_5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167</Characters>
  <Application>Microsoft Office Word</Application>
  <DocSecurity>0</DocSecurity>
  <Lines>16</Lines>
  <Paragraphs>18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2026-07-06T11:29:05Z</dcterms:created>
  <dcterms:modified xsi:type="dcterms:W3CDTF">2026-07-06T11:29:05Z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