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modified_bolton_broth_selective_supplement_mtr_clp1_en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Oxoid Ltd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modified_bolton_broth_selective_supplement_mtr_clp1_en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9" w:name="X17574f0289c3808865bc3e921e55e3f5251fbc4"/>
    <w:p>
      <w:pPr>
        <w:pStyle w:val="Heading1"/>
      </w:pPr>
      <w:r>
        <w:t xml:space="preserve">Analyse des dangers : modified_bolton_broth_selective_supplement_mtr_clp1_en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modified_bolton_broth_selective_supplement_mtr_clp1_en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Oxoid Ltd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Pellets (pastilles solides)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Pas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 : Produits chimiques de laboratoire.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2021-12-10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2021-12-10. Elle a donc 4 an(s).</w:t>
      </w:r>
      <w:r>
        <w:t xml:space="preserve"> </w:t>
      </w:r>
      <w:r>
        <w:t xml:space="preserve">La FDS ayant plus de 3 ans, il est</w:t>
      </w:r>
      <w:r>
        <w:t xml:space="preserve"> </w:t>
      </w:r>
      <w:r>
        <w:rPr>
          <w:i/>
          <w:iCs/>
        </w:rPr>
        <w:t xml:space="preserve">recommandé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  <w:r>
        <w:t xml:space="preserve"> </w:t>
      </w:r>
      <w:r>
        <w:drawing>
          <wp:inline>
            <wp:extent cx="719999" cy="719999"/>
            <wp:effectExtent b="0" l="0" r="0" t="0"/>
            <wp:docPr descr="Grave pour la santé" title="" id="34" name="Picture"/>
            <a:graphic>
              <a:graphicData uri="http://schemas.openxmlformats.org/drawingml/2006/picture">
                <pic:pic>
                  <pic:nvPicPr>
                    <pic:cNvPr descr="templates/SGH08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3"/>
        </w:numPr>
      </w:pPr>
      <w:r>
        <w:t xml:space="preserve">H334</w:t>
      </w:r>
      <w:r>
        <w:t xml:space="preserve"> </w:t>
      </w:r>
      <w:r>
        <w:t xml:space="preserve">Peut provoquer des symptômes allergiques ou d’asthme ou des difficultés respiratoires par inhalation.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P261</w:t>
      </w:r>
      <w:r>
        <w:t xml:space="preserve"> </w:t>
      </w:r>
      <w:r>
        <w:t xml:space="preserve">Évitez de respirer les poussières, fumées, gaz, brouillards, vapeurs et aérosols.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protection, des vêtements de protection, un équipement de protection des yeux et du visage.</w:t>
      </w:r>
    </w:p>
    <w:p>
      <w:pPr>
        <w:numPr>
          <w:ilvl w:val="0"/>
          <w:numId w:val="1004"/>
        </w:numPr>
      </w:pPr>
      <w:r>
        <w:t xml:space="preserve">P285</w:t>
      </w:r>
      <w:r>
        <w:t xml:space="preserve"> </w:t>
      </w:r>
      <w:r>
        <w:t xml:space="preserve">Lorsque la ventilation du local est insuffisante, porter un équipement de protection respiratoire.</w:t>
      </w:r>
    </w:p>
    <w:p>
      <w:pPr>
        <w:numPr>
          <w:ilvl w:val="0"/>
          <w:numId w:val="1004"/>
        </w:numPr>
      </w:pPr>
      <w:r>
        <w:t xml:space="preserve">P302+P352</w:t>
      </w:r>
      <w:r>
        <w:t xml:space="preserve"> </w:t>
      </w:r>
      <w:r>
        <w:t xml:space="preserve">EN CAS DE CONTACT AVEC LA PEAU :</w:t>
      </w:r>
    </w:p>
    <w:p>
      <w:pPr>
        <w:numPr>
          <w:ilvl w:val="0"/>
          <w:numId w:val="1004"/>
        </w:numPr>
      </w:pPr>
      <w:r>
        <w:t xml:space="preserve">P304+P340</w:t>
      </w:r>
      <w:r>
        <w:t xml:space="preserve"> </w:t>
      </w:r>
      <w:r>
        <w:t xml:space="preserve">EN CAS D’INHALATION :</w:t>
      </w:r>
    </w:p>
    <w:p>
      <w:pPr>
        <w:numPr>
          <w:ilvl w:val="0"/>
          <w:numId w:val="1004"/>
        </w:numPr>
      </w:pPr>
      <w:r>
        <w:t xml:space="preserve">P333+P313</w:t>
      </w:r>
      <w:r>
        <w:t xml:space="preserve"> </w:t>
      </w:r>
      <w:r>
        <w:t xml:space="preserve">En cas d’irritation ou d’éruption cutanée : consulter un médecin.</w:t>
      </w:r>
    </w:p>
    <w:p>
      <w:pPr>
        <w:numPr>
          <w:ilvl w:val="0"/>
          <w:numId w:val="1004"/>
        </w:numPr>
      </w:pPr>
      <w:r>
        <w:t xml:space="preserve">P342+P311</w:t>
      </w:r>
      <w:r>
        <w:t xml:space="preserve"> </w:t>
      </w:r>
      <w:r>
        <w:t xml:space="preserve">En cas de symptômes respiratoires :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Please provide the text you would like me to translate into French.</w:t>
      </w:r>
    </w:p>
    <w:p>
      <w:pPr>
        <w:pStyle w:val="Compact"/>
        <w:numPr>
          <w:ilvl w:val="0"/>
          <w:numId w:val="1005"/>
        </w:numPr>
      </w:pPr>
      <w:r>
        <w:t xml:space="preserve">RID : Please provide the text you would like me to translate into French.</w:t>
      </w:r>
    </w:p>
    <w:p>
      <w:pPr>
        <w:pStyle w:val="Compact"/>
        <w:numPr>
          <w:ilvl w:val="0"/>
          <w:numId w:val="1005"/>
        </w:numPr>
      </w:pPr>
      <w:r>
        <w:t xml:space="preserve">ADN : Please provide the text you would like me to translate into French.</w:t>
      </w:r>
    </w:p>
    <w:p>
      <w:pPr>
        <w:pStyle w:val="Compact"/>
        <w:numPr>
          <w:ilvl w:val="0"/>
          <w:numId w:val="1005"/>
        </w:numPr>
      </w:pPr>
      <w:r>
        <w:t xml:space="preserve">IMDG : Please provide the text you would like me to translate into French.</w:t>
      </w:r>
    </w:p>
    <w:p>
      <w:pPr>
        <w:pStyle w:val="Compact"/>
        <w:numPr>
          <w:ilvl w:val="0"/>
          <w:numId w:val="1005"/>
        </w:numPr>
      </w:pPr>
      <w:r>
        <w:t xml:space="preserve">IATA : Please provide the text you would like me to translate into French.</w:t>
      </w:r>
    </w:p>
    <w:p>
      <w:pPr>
        <w:pStyle w:val="Compact"/>
        <w:numPr>
          <w:ilvl w:val="0"/>
          <w:numId w:val="1005"/>
        </w:numPr>
      </w:pPr>
      <w:r>
        <w:t xml:space="preserve">UN : Please provide the text you would like me to translate into French.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peau : Lavez immédiatement à l’eau et au savon abondamment.</w:t>
      </w:r>
      <w:r>
        <w:t xml:space="preserve"> </w:t>
      </w:r>
      <w:r>
        <w:t xml:space="preserve">Enlevez tous les vêtements et chaussures contaminés.</w:t>
      </w:r>
      <w:r>
        <w:t xml:space="preserve"> </w:t>
      </w:r>
      <w:r>
        <w:t xml:space="preserve">Consultez un médecin si des symptômes surviennent.</w:t>
      </w:r>
    </w:p>
    <w:p>
      <w:pPr>
        <w:pStyle w:val="BodyText"/>
      </w:pPr>
      <w:r>
        <w:t xml:space="preserve">yeux : Rincez abondamment à l’eau, également sous les paupières.</w:t>
      </w:r>
      <w:r>
        <w:t xml:space="preserve"> </w:t>
      </w:r>
      <w:r>
        <w:t xml:space="preserve">Consultez un médecin.</w:t>
      </w:r>
    </w:p>
    <w:p>
      <w:pPr>
        <w:pStyle w:val="BodyText"/>
      </w:pPr>
      <w:r>
        <w:t xml:space="preserve">ingestion : Nettoyez la bouche à l’eau.</w:t>
      </w:r>
      <w:r>
        <w:t xml:space="preserve"> </w:t>
      </w:r>
      <w:r>
        <w:t xml:space="preserve">Buvez beaucoup d’eau après.</w:t>
      </w:r>
      <w:r>
        <w:t xml:space="preserve"> </w:t>
      </w:r>
      <w:r>
        <w:t xml:space="preserve">Consultez un médecin si des symptômes surviennent.</w:t>
      </w:r>
    </w:p>
    <w:p>
      <w:pPr>
        <w:pStyle w:val="BodyText"/>
      </w:pPr>
      <w:r>
        <w:t xml:space="preserve">inhalation : Éloignez la personne de l’air frais.</w:t>
      </w:r>
      <w:r>
        <w:t xml:space="preserve"> </w:t>
      </w:r>
      <w:r>
        <w:t xml:space="preserve">Fournissez une assistance médicale immédiatement si des symptômes surviennent.</w:t>
      </w:r>
      <w:r>
        <w:t xml:space="preserve"> </w:t>
      </w:r>
      <w:r>
        <w:t xml:space="preserve">Donnez de l’oxygène ou une respiration artificielle si nécessaire.</w:t>
      </w:r>
      <w:r>
        <w:t xml:space="preserve"> </w:t>
      </w:r>
      <w:r>
        <w:t xml:space="preserve">Consultez un médecin si nécessaire.</w:t>
      </w:r>
    </w:p>
    <w:p>
      <w:r>
        <w:br w:type="page"/>
      </w:r>
    </w:p>
    <w:bookmarkEnd w:id="37"/>
    <w:bookmarkStart w:id="46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9" w:name="cefoperazone-cefobid"/>
    <w:p>
      <w:pPr>
        <w:pStyle w:val="Heading3"/>
      </w:pPr>
      <w:r>
        <w:t xml:space="preserve">Cefoperazone (Cefobid)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62893-20-3</w:t>
      </w:r>
    </w:p>
    <w:p>
      <w:pPr>
        <w:pStyle w:val="Compact"/>
        <w:numPr>
          <w:ilvl w:val="0"/>
          <w:numId w:val="1006"/>
        </w:numPr>
      </w:pPr>
      <w:r>
        <w:t xml:space="preserve">N° EINECS : 263-751-5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6,5 à 100,0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7"/>
        </w:numPr>
      </w:pPr>
      <w:r>
        <w:t xml:space="preserve">H334</w:t>
      </w:r>
      <w:r>
        <w:t xml:space="preserve"> </w:t>
      </w:r>
      <w:r>
        <w:t xml:space="preserve">Peut provoquer des symptômes allergiques ou d’asthme ou des difficultés respiratoires par inhalation.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8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8"/>
    <w:bookmarkEnd w:id="39"/>
    <w:bookmarkStart w:id="41" w:name="vancomycin-hydrochloride"/>
    <w:p>
      <w:pPr>
        <w:pStyle w:val="Heading3"/>
      </w:pPr>
      <w:r>
        <w:t xml:space="preserve">Vancomycin hydrochloride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1404-93-9</w:t>
      </w:r>
    </w:p>
    <w:p>
      <w:pPr>
        <w:pStyle w:val="Compact"/>
        <w:numPr>
          <w:ilvl w:val="0"/>
          <w:numId w:val="1008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6,5 à 100,0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H315</w:t>
      </w:r>
      <w:r>
        <w:t xml:space="preserve"> </w:t>
      </w:r>
      <w:r>
        <w:t xml:space="preserve">Il provoque une irritation cutanée.</w:t>
      </w:r>
    </w:p>
    <w:p>
      <w:pPr>
        <w:numPr>
          <w:ilvl w:val="0"/>
          <w:numId w:val="1009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9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0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0"/>
    <w:bookmarkEnd w:id="41"/>
    <w:bookmarkStart w:id="43" w:name="trimethoprim-lactate"/>
    <w:p>
      <w:pPr>
        <w:pStyle w:val="Heading3"/>
      </w:pPr>
      <w:r>
        <w:t xml:space="preserve">Trimethoprim lactate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23256-42-0</w:t>
      </w:r>
    </w:p>
    <w:p>
      <w:pPr>
        <w:pStyle w:val="Compact"/>
        <w:numPr>
          <w:ilvl w:val="0"/>
          <w:numId w:val="1010"/>
        </w:numPr>
      </w:pPr>
      <w:r>
        <w:t xml:space="preserve">N° EINECS : 245-533-1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6,5 à 100,0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1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2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2"/>
    <w:bookmarkEnd w:id="43"/>
    <w:bookmarkStart w:id="45" w:name="amphotericin-b"/>
    <w:p>
      <w:pPr>
        <w:pStyle w:val="Heading3"/>
      </w:pPr>
      <w:r>
        <w:t xml:space="preserve">Amphotericin B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1397-89-3</w:t>
      </w:r>
    </w:p>
    <w:p>
      <w:pPr>
        <w:pStyle w:val="Compact"/>
        <w:numPr>
          <w:ilvl w:val="0"/>
          <w:numId w:val="1012"/>
        </w:numPr>
      </w:pPr>
      <w:r>
        <w:t xml:space="preserve">N° EINECS : 215-742-2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6,5 à 100,0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3"/>
        </w:numPr>
      </w:pPr>
      <w:r>
        <w:t xml:space="preserve">H315</w:t>
      </w:r>
      <w:r>
        <w:t xml:space="preserve"> </w:t>
      </w:r>
      <w:r>
        <w:t xml:space="preserve">Il provoque une irritation cutanée.</w:t>
      </w:r>
    </w:p>
    <w:p>
      <w:pPr>
        <w:numPr>
          <w:ilvl w:val="0"/>
          <w:numId w:val="101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4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4"/>
    <w:bookmarkEnd w:id="45"/>
    <w:bookmarkEnd w:id="46"/>
    <w:bookmarkStart w:id="47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jetables - doivent respecter la norme EN 374 (exigence minimale). Aucune épaisseur spécifique ou temps de percée n’est indiqué ; suivre les instructions du fournisseur pour la perméabilité et le temps de percée.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Des lunettes de sécurité avec écrans latéraux (ou des lunettes de protection) - EN 166. Offre une protection contre les éclaboussures et la poussière.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jetables - doivent respecter la norme EN 374 (exigence minimale). Aucune épaisseur spécifique ou temps de percée n’est indiqué ; suivre les instructions du fournisseur pour la perméabilité et le temps de percée.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Respirateur approuvé NIOSH/MSHA ou EN 149 : 2001 (si les limites d’exposition sont dépassées ou si des irritations/symptômes surviennent). Doit être correctement ajusté ; un essai d’ajustement du masque facial doit être effectué lorsque l’EPI respiratoire est utilisé.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à manches longues. Devraient être inspectés avant utilisation ; retirer les gants avec soin pour éviter la contamination de la peau.</w:t>
            </w:r>
          </w:p>
        </w:tc>
      </w:tr>
    </w:tbl>
    <w:bookmarkEnd w:id="47"/>
    <w:bookmarkStart w:id="48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Évitez tout contact - Ne laissez pas le produit entrer en contact avec les yeux, la peau ou les vêtements. Évitez la poussière - Ne respirez pas de poussière ; évitez la formation de poussière. Ventilation - Assurez une ventilation adéquate, surtout dans les espaces confinés. Équipements de protection individuelle (EPI) - Utilisez les EPI requis, qui comprennent : Protection des yeux (lunettes de sécurité avec écrans latéraux ou lunettes de protection, EN 166). Protection des mains (gants de protection ; gants jetables conformes à la norme EN 374). Protection de la peau et du corps (vêtements à manches longues). Hygiène générale - Manipulez le produit conformément aux bonnes pratiques d’hygiène industrielle et de sécurité ; gardez-le éloigné des aliments, des boissons et des aliments pour animaux ; ne mangez pas, ne buvez pas et ne fumez pas lorsque vous utilisez le produit. Nettoyage - Retirez et lavez les vêtements et gants souillés (y compris l’intérieur) avant de les réutiliser ; lavez-vous les mains avant les pauses et après le travail.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Ne conserver que dans le récipient d’origine. - Conserver à des températures comprises entre 2 °C et 8 °C. - Suivre les Règles techniques pour substances dangereuses (TRGS) 510 Classe 13 et la Classe de stockage (LGK) (Allemagne). - Aucune incompatibilité n’est connue ; aucun matériau incompatible n’est répertorié.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 : Produits chimiques de laboratoire.</w:t>
            </w:r>
          </w:p>
        </w:tc>
      </w:tr>
    </w:tbl>
    <w:bookmarkEnd w:id="48"/>
    <w:bookmarkEnd w:id="49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2026-07-06T11:32:33Z</dcterms:created>
  <dcterms:modified xsi:type="dcterms:W3CDTF">2026-07-06T11:32:33Z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