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naoh01nvwr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Avantor Performance Materials B.V.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naoh01nvwr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9" w:name="analyse-des-dangers-naoh01nvwr"/>
    <w:p>
      <w:pPr>
        <w:pStyle w:val="Heading1"/>
      </w:pPr>
      <w:r>
        <w:t xml:space="preserve">Analyse des dangers : naoh01nvwr</w:t>
      </w:r>
    </w:p>
    <w:p>
      <w:pPr>
        <w:pStyle w:val="FirstParagraph"/>
      </w:pPr>
      <w:r>
        <w:t xml:space="preserve">Dans la suite, nous détaillons les dangers associés au produit</w:t>
      </w:r>
      <w:r>
        <w:t xml:space="preserve"> </w:t>
      </w:r>
      <w:r>
        <w:rPr>
          <w:b/>
          <w:bCs/>
        </w:rPr>
        <w:t xml:space="preserve">naoh01nvwr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Avantor Performance Materials B.V.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Solide (blanc)</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Pas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Pour usage en laboratoire, de recherche ou de fabrication.</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2014-02-06</w:t>
            </w:r>
          </w:p>
        </w:tc>
      </w:tr>
    </w:tbl>
    <w:p>
      <w:pPr>
        <w:pStyle w:val="BodyText"/>
      </w:pPr>
      <w:r>
        <w:t xml:space="preserve"> </w:t>
      </w:r>
      <w:r>
        <w:t xml:space="preserve">La FDS date du 2014-02-06. Elle a donc 12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rPr>
          <w:b/>
          <w:bCs/>
        </w:rPr>
        <w:t xml:space="preserve">Mentions de danger</w:t>
      </w:r>
      <w:r>
        <w:t xml:space="preserve"> </w:t>
      </w:r>
      <w:r>
        <w:t xml:space="preserve">:</w:t>
      </w:r>
    </w:p>
    <w:p>
      <w:pPr>
        <w:pStyle w:val="Compact"/>
        <w:numPr>
          <w:ilvl w:val="0"/>
          <w:numId w:val="1003"/>
        </w:numPr>
      </w:pPr>
      <w:r>
        <w:t xml:space="preserve">H314</w:t>
      </w:r>
      <w:r>
        <w:t xml:space="preserve"> </w:t>
      </w:r>
      <w:r>
        <w:t xml:space="preserve">Cause des brûlures cutanées et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P260</w:t>
      </w:r>
      <w:r>
        <w:t xml:space="preserve"> </w:t>
      </w:r>
      <w:r>
        <w:t xml:space="preserve">Ne respirez pas la poussière/la fumée/les gaz/le brouillard/les vapeurs/les aérosols.</w:t>
      </w:r>
    </w:p>
    <w:p>
      <w:pPr>
        <w:numPr>
          <w:ilvl w:val="0"/>
          <w:numId w:val="1004"/>
        </w:numPr>
      </w:pPr>
      <w:r>
        <w:t xml:space="preserve">P303+P361+P353</w:t>
      </w:r>
      <w:r>
        <w:t xml:space="preserve"> </w:t>
      </w:r>
      <w:r>
        <w:t xml:space="preserve">EN CAS DE CONTACT AVEC LA PEAU (ou les cheveux) :</w:t>
      </w:r>
    </w:p>
    <w:p>
      <w:pPr>
        <w:numPr>
          <w:ilvl w:val="0"/>
          <w:numId w:val="1004"/>
        </w:numPr>
      </w:pPr>
      <w:r>
        <w:t xml:space="preserve">P305+P351+P338</w:t>
      </w:r>
      <w:r>
        <w:t xml:space="preserve"> </w:t>
      </w:r>
      <w:r>
        <w:t xml:space="preserve">EN CAS DE CONTACT AVEC LES YEUX : rincer soigneusement à l’eau pendant plusieurs minutes. Enlever les lentilles de contact si la victime en porte et si elles peuvent être facilement retirées. Continuer à rincer.</w:t>
      </w:r>
    </w:p>
    <w:p>
      <w:pPr>
        <w:numPr>
          <w:ilvl w:val="0"/>
          <w:numId w:val="1004"/>
        </w:numPr>
      </w:pPr>
      <w:r>
        <w:t xml:space="preserve">P310</w:t>
      </w:r>
      <w:r>
        <w:t xml:space="preserve"> </w:t>
      </w:r>
      <w:r>
        <w:t xml:space="preserve">P310</w:t>
      </w:r>
    </w:p>
    <w:p>
      <w:pPr>
        <w:numPr>
          <w:ilvl w:val="0"/>
          <w:numId w:val="1004"/>
        </w:numPr>
      </w:pPr>
      <w:r>
        <w:t xml:space="preserve">P405</w:t>
      </w:r>
      <w:r>
        <w:t xml:space="preserve"> </w:t>
      </w:r>
      <w:r>
        <w:t xml:space="preserve">Garder sous clé.</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8</w:t>
      </w:r>
    </w:p>
    <w:p>
      <w:pPr>
        <w:pStyle w:val="Compact"/>
        <w:numPr>
          <w:ilvl w:val="0"/>
          <w:numId w:val="1005"/>
        </w:numPr>
      </w:pPr>
      <w:r>
        <w:t xml:space="preserve">RID : Please provide the text you would like me to translate into French.</w:t>
      </w:r>
    </w:p>
    <w:p>
      <w:pPr>
        <w:pStyle w:val="Compact"/>
        <w:numPr>
          <w:ilvl w:val="0"/>
          <w:numId w:val="1005"/>
        </w:numPr>
      </w:pPr>
      <w:r>
        <w:t xml:space="preserve">ADN : Please provide the text you would like me to translate into French.</w:t>
      </w:r>
    </w:p>
    <w:p>
      <w:pPr>
        <w:pStyle w:val="Compact"/>
        <w:numPr>
          <w:ilvl w:val="0"/>
          <w:numId w:val="1005"/>
        </w:numPr>
      </w:pPr>
      <w:r>
        <w:t xml:space="preserve">IMDG : 8</w:t>
      </w:r>
    </w:p>
    <w:p>
      <w:pPr>
        <w:pStyle w:val="Compact"/>
        <w:numPr>
          <w:ilvl w:val="0"/>
          <w:numId w:val="1005"/>
        </w:numPr>
      </w:pPr>
      <w:r>
        <w:t xml:space="preserve">IATA : 8</w:t>
      </w:r>
    </w:p>
    <w:p>
      <w:pPr>
        <w:pStyle w:val="Compact"/>
        <w:numPr>
          <w:ilvl w:val="0"/>
          <w:numId w:val="1005"/>
        </w:numPr>
      </w:pPr>
      <w:r>
        <w:t xml:space="preserve">UN : UN1823</w:t>
      </w:r>
    </w:p>
    <w:bookmarkEnd w:id="33"/>
    <w:bookmarkStart w:id="34" w:name="Xda6f178de632779b007ca26fa4959a763d2c7f4"/>
    <w:p>
      <w:pPr>
        <w:pStyle w:val="Heading2"/>
      </w:pPr>
      <w:r>
        <w:t xml:space="preserve">Dangers et/ou mesures par voie d’exposition</w:t>
      </w:r>
    </w:p>
    <w:p>
      <w:pPr>
        <w:pStyle w:val="FirstParagraph"/>
      </w:pPr>
      <w:r>
        <w:t xml:space="preserve">peau : Lavez immédiatement la zone touchée à l’eau et au savon et rincez abondamment.</w:t>
      </w:r>
    </w:p>
    <w:p>
      <w:pPr>
        <w:pStyle w:val="BodyText"/>
      </w:pPr>
      <w:r>
        <w:t xml:space="preserve">yeux : Rincez l’œil ouvert pendant plusieurs minutes sous un filet d’eau courante.</w:t>
      </w:r>
    </w:p>
    <w:p>
      <w:pPr>
        <w:pStyle w:val="BodyText"/>
      </w:pPr>
      <w:r>
        <w:t xml:space="preserve">ingestion : Buvez de grandes quantités d’eau et fournissez de l’air frais. Appelez immédiatement un médecin.</w:t>
      </w:r>
    </w:p>
    <w:p>
      <w:pPr>
        <w:pStyle w:val="BodyText"/>
      </w:pPr>
      <w:r>
        <w:t xml:space="preserve">inhalation : Si l’patient est inconscient, placez-le dans une position latérale stable pour le transport.</w:t>
      </w:r>
    </w:p>
    <w:p>
      <w:r>
        <w:br w:type="page"/>
      </w:r>
    </w:p>
    <w:bookmarkEnd w:id="34"/>
    <w:bookmarkStart w:id="46" w:name="Xd3fd47f9279b52cc9d4b00e07bdfde0bea6594f"/>
    <w:p>
      <w:pPr>
        <w:pStyle w:val="Heading2"/>
      </w:pPr>
      <w:r>
        <w:t xml:space="preserve">Informations relatives aux substances dangereuses présentes</w:t>
      </w:r>
    </w:p>
    <w:bookmarkStart w:id="45" w:name="sodium-hydroxide"/>
    <w:p>
      <w:pPr>
        <w:pStyle w:val="Heading3"/>
      </w:pPr>
      <w:r>
        <w:t xml:space="preserve">Sodium Hydroxide</w:t>
      </w:r>
    </w:p>
    <w:p>
      <w:pPr>
        <w:pStyle w:val="FirstParagraph"/>
      </w:pPr>
      <w:r>
        <w:rPr>
          <w:b/>
          <w:bCs/>
        </w:rPr>
        <w:t xml:space="preserve">Identification</w:t>
      </w:r>
    </w:p>
    <w:p>
      <w:pPr>
        <w:pStyle w:val="Compact"/>
        <w:numPr>
          <w:ilvl w:val="0"/>
          <w:numId w:val="1006"/>
        </w:numPr>
      </w:pPr>
      <w:r>
        <w:t xml:space="preserve">N° CAS : 1310-73-2</w:t>
      </w:r>
    </w:p>
    <w:p>
      <w:pPr>
        <w:pStyle w:val="Compact"/>
        <w:numPr>
          <w:ilvl w:val="0"/>
          <w:numId w:val="1006"/>
        </w:numPr>
      </w:pPr>
      <w:r>
        <w:t xml:space="preserve">N° EINECS : 215-185-5</w:t>
      </w:r>
    </w:p>
    <w:p>
      <w:pPr>
        <w:pStyle w:val="FirstParagraph"/>
      </w:pPr>
      <w:r>
        <w:rPr>
          <w:b/>
          <w:bCs/>
        </w:rPr>
        <w:t xml:space="preserve">Concentration</w:t>
      </w:r>
      <w:r>
        <w:t xml:space="preserve"> </w:t>
      </w:r>
      <w:r>
        <w:t xml:space="preserve">:de 0,0 à 0,0</w:t>
      </w:r>
    </w:p>
    <w:p>
      <w:pPr>
        <w:pStyle w:val="BodyText"/>
      </w:pPr>
      <w:r>
        <w:rPr>
          <w:b/>
          <w:bCs/>
        </w:rPr>
        <w:t xml:space="preserve">Dangers</w:t>
      </w:r>
      <w:r>
        <w:t xml:space="preserve"> </w:t>
      </w:r>
      <w:r>
        <w:t xml:space="preserve">:</w:t>
      </w:r>
    </w:p>
    <w:p>
      <w:pPr>
        <w:pStyle w:val="Compact"/>
        <w:numPr>
          <w:ilvl w:val="0"/>
          <w:numId w:val="1007"/>
        </w:numPr>
      </w:pPr>
      <w:r>
        <w:t xml:space="preserve">H314</w:t>
      </w:r>
      <w:r>
        <w:t xml:space="preserve"> </w:t>
      </w:r>
      <w:r>
        <w:t xml:space="preserve">Cause des brûlures cutanées et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2.0</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FICHEAvril 2021Fiche n°20 - Hydroxyde de sodium et solutions aqueusesFiche présentant l’essentiel des données d’hygiène et de sécurité relatives à« Hydroxyde de sodium et solutions aqueuses »avec un rappel de la réglementation française et des recommandations techniques et médicales.En savoir plus</w:t>
        </w:r>
      </w:hyperlink>
    </w:p>
    <w:p>
      <w:pPr>
        <w:numPr>
          <w:ilvl w:val="0"/>
          <w:numId w:val="1008"/>
        </w:numPr>
      </w:pPr>
      <w:hyperlink r:id="rId36">
        <w:r>
          <w:rPr>
            <w:rStyle w:val="Hyperlink"/>
            <w:color w:val="0856A0"/>
            <w:u w:val="single"/>
          </w:rPr>
          <w:t xml:space="preserve">Généralités</w:t>
        </w:r>
      </w:hyperlink>
    </w:p>
    <w:p>
      <w:pPr>
        <w:numPr>
          <w:ilvl w:val="0"/>
          <w:numId w:val="1008"/>
        </w:numPr>
      </w:pPr>
      <w:hyperlink r:id="rId37">
        <w:r>
          <w:rPr>
            <w:rStyle w:val="Hyperlink"/>
            <w:color w:val="0856A0"/>
            <w:u w:val="single"/>
          </w:rPr>
          <w:t xml:space="preserve">Caractéristiques</w:t>
        </w:r>
      </w:hyperlink>
    </w:p>
    <w:p>
      <w:pPr>
        <w:numPr>
          <w:ilvl w:val="0"/>
          <w:numId w:val="1008"/>
        </w:numPr>
      </w:pPr>
      <w:hyperlink r:id="rId38">
        <w:r>
          <w:rPr>
            <w:rStyle w:val="Hyperlink"/>
            <w:color w:val="0856A0"/>
            <w:u w:val="single"/>
          </w:rPr>
          <w:t xml:space="preserve">VLEPMesurage</w:t>
        </w:r>
      </w:hyperlink>
    </w:p>
    <w:p>
      <w:pPr>
        <w:numPr>
          <w:ilvl w:val="0"/>
          <w:numId w:val="1008"/>
        </w:numPr>
      </w:pPr>
      <w:hyperlink r:id="rId39">
        <w:r>
          <w:rPr>
            <w:rStyle w:val="Hyperlink"/>
            <w:color w:val="0856A0"/>
            <w:u w:val="single"/>
          </w:rPr>
          <w:t xml:space="preserve">Incendie - Explosion[7, 8]</w:t>
        </w:r>
      </w:hyperlink>
    </w:p>
    <w:p>
      <w:pPr>
        <w:numPr>
          <w:ilvl w:val="0"/>
          <w:numId w:val="1008"/>
        </w:numPr>
      </w:pPr>
      <w:hyperlink r:id="rId40">
        <w:r>
          <w:rPr>
            <w:rStyle w:val="Hyperlink"/>
            <w:color w:val="0856A0"/>
            <w:u w:val="single"/>
          </w:rPr>
          <w:t xml:space="preserve">Pathologie - Toxicologie</w:t>
        </w:r>
      </w:hyperlink>
    </w:p>
    <w:p>
      <w:pPr>
        <w:numPr>
          <w:ilvl w:val="0"/>
          <w:numId w:val="1008"/>
        </w:numPr>
      </w:pPr>
      <w:hyperlink r:id="rId41">
        <w:r>
          <w:rPr>
            <w:rStyle w:val="Hyperlink"/>
            <w:color w:val="0856A0"/>
            <w:u w:val="single"/>
          </w:rPr>
          <w:t xml:space="preserve">Règlementation</w:t>
        </w:r>
      </w:hyperlink>
    </w:p>
    <w:p>
      <w:pPr>
        <w:numPr>
          <w:ilvl w:val="0"/>
          <w:numId w:val="1008"/>
        </w:numPr>
      </w:pPr>
      <w:hyperlink r:id="rId42">
        <w:r>
          <w:rPr>
            <w:rStyle w:val="Hyperlink"/>
            <w:color w:val="0856A0"/>
            <w:u w:val="single"/>
          </w:rPr>
          <w:t xml:space="preserve">Recommandations</w:t>
        </w:r>
      </w:hyperlink>
    </w:p>
    <w:p>
      <w:pPr>
        <w:numPr>
          <w:ilvl w:val="0"/>
          <w:numId w:val="1008"/>
        </w:numPr>
      </w:pPr>
      <w:hyperlink r:id="rId43">
        <w:r>
          <w:rPr>
            <w:rStyle w:val="Hyperlink"/>
            <w:color w:val="0856A0"/>
            <w:u w:val="single"/>
          </w:rPr>
          <w:t xml:space="preserve">Bibliographie</w:t>
        </w:r>
      </w:hyperlink>
    </w:p>
    <w:bookmarkEnd w:id="44"/>
    <w:bookmarkEnd w:id="45"/>
    <w:bookmarkEnd w:id="46"/>
    <w:bookmarkStart w:id="4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imperméables et résistants (le matériau sera choisi par le fabricant de gants en fonction des données de pénétration).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sécurité bien hermétiques</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imperméables et résistants (le matériau sera choisi par le fabricant de gants en fonction des données de pénétration).</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Aucun équipement respiratoire n’est nécessaire pour une manipulation normale.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Please provide the text you would like me to translate into French.</w:t>
            </w:r>
          </w:p>
        </w:tc>
      </w:tr>
    </w:tbl>
    <w:bookmarkEnd w:id="47"/>
    <w:bookmarkStart w:id="4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Dépoussiérage minutieux - veillez à ce que le matériau reste exempt de poussière pendant la manipulation. - Garder les conteneurs hermétiquement fermés - pour éviter toute libération accidentelle ou exposition. - Porter des gants de protection - les gants doivent être imperméables et résistants au produit ; choisissez le matériau en fonction du temps de pénétration, du taux de diffusion et de la dégradation. - Éviter tout contact avec la peau, les yeux et les aliments - tenir éloigné des aliments, boissons et produits alimentaires. - Enlever immédiatement les vêtements contaminés - si vous êtes taché, retirez-les et lavez-les. - Se laver les mains - pendant les pauses et à la fin du travail. - Éviter l’inhalation de poussière/fumées/gaz/brouillard/vapeurs/spray - utiliser une ventilation appropriée ou une protection respiratoire si nécessaire. - Ranger sous clef - conserver la substance dans un endroit fermé à clé.</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Exigences pour les locaux de stockage et les conteneurs : Aucune exigence particulière. - Stockage dans une installation commune : Non requis. - Condition de stockage supplémentaire : Garder le contenant hermétiquement fermé. - Incompatibilités : Aucune incompatibilité n’est spécifiée.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Pour usage en laboratoire, de recherche ou de fabrication.</w:t>
            </w:r>
          </w:p>
        </w:tc>
      </w:tr>
    </w:tbl>
    <w:bookmarkEnd w:id="48"/>
    <w:bookmarkEnd w:id="4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accueil/publications/bdd/fichetox/fiche.html?refINRS=FICHETOX_20" TargetMode="External"/><Relationship Id="rId38" Type="http://schemas.openxmlformats.org/officeDocument/2006/relationships/hyperlink" Target="https://www.inrs.fr/accueil/publications/bdd/fichetox/fiche.html?refINRS=FICHETOX_20&amp;section=VLEPMesurage" TargetMode="External"/><Relationship Id="rId43" Type="http://schemas.openxmlformats.org/officeDocument/2006/relationships/hyperlink" Target="https://www.inrs.fr/accueil/publications/bdd/fichetox/fiche.html?refINRS=FICHETOX_20&amp;section=bibliographieAuteurs" TargetMode="External"/><Relationship Id="rId37" Type="http://schemas.openxmlformats.org/officeDocument/2006/relationships/hyperlink" Target="https://www.inrs.fr/accueil/publications/bdd/fichetox/fiche.html?refINRS=FICHETOX_20&amp;section=caracteristiques" TargetMode="External"/><Relationship Id="rId36" Type="http://schemas.openxmlformats.org/officeDocument/2006/relationships/hyperlink" Target="https://www.inrs.fr/accueil/publications/bdd/fichetox/fiche.html?refINRS=FICHETOX_20&amp;section=generalites" TargetMode="External"/><Relationship Id="rId39" Type="http://schemas.openxmlformats.org/officeDocument/2006/relationships/hyperlink" Target="https://www.inrs.fr/accueil/publications/bdd/fichetox/fiche.html?refINRS=FICHETOX_20&amp;section=incendieExplosion" TargetMode="External"/><Relationship Id="rId40" Type="http://schemas.openxmlformats.org/officeDocument/2006/relationships/hyperlink" Target="https://www.inrs.fr/accueil/publications/bdd/fichetox/fiche.html?refINRS=FICHETOX_20&amp;section=pathologieToxicologie" TargetMode="External"/><Relationship Id="rId42" Type="http://schemas.openxmlformats.org/officeDocument/2006/relationships/hyperlink" Target="https://www.inrs.fr/accueil/publications/bdd/fichetox/fiche.html?refINRS=FICHETOX_20&amp;section=recommandations" TargetMode="External"/><Relationship Id="rId41" Type="http://schemas.openxmlformats.org/officeDocument/2006/relationships/hyperlink" Target="https://www.inrs.fr/accueil/publications/bdd/fichetox/fiche.html?refINRS=FICHETOX_20&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accueil/publications/bdd/fichetox/fiche.html?refINRS=FICHETOX_20" TargetMode="External"/><Relationship Id="rId38" Type="http://schemas.openxmlformats.org/officeDocument/2006/relationships/hyperlink" Target="https://www.inrs.fr/accueil/publications/bdd/fichetox/fiche.html?refINRS=FICHETOX_20&amp;section=VLEPMesurage" TargetMode="External"/><Relationship Id="rId43" Type="http://schemas.openxmlformats.org/officeDocument/2006/relationships/hyperlink" Target="https://www.inrs.fr/accueil/publications/bdd/fichetox/fiche.html?refINRS=FICHETOX_20&amp;section=bibliographieAuteurs" TargetMode="External"/><Relationship Id="rId37" Type="http://schemas.openxmlformats.org/officeDocument/2006/relationships/hyperlink" Target="https://www.inrs.fr/accueil/publications/bdd/fichetox/fiche.html?refINRS=FICHETOX_20&amp;section=caracteristiques" TargetMode="External"/><Relationship Id="rId36" Type="http://schemas.openxmlformats.org/officeDocument/2006/relationships/hyperlink" Target="https://www.inrs.fr/accueil/publications/bdd/fichetox/fiche.html?refINRS=FICHETOX_20&amp;section=generalites" TargetMode="External"/><Relationship Id="rId39" Type="http://schemas.openxmlformats.org/officeDocument/2006/relationships/hyperlink" Target="https://www.inrs.fr/accueil/publications/bdd/fichetox/fiche.html?refINRS=FICHETOX_20&amp;section=incendieExplosion" TargetMode="External"/><Relationship Id="rId40" Type="http://schemas.openxmlformats.org/officeDocument/2006/relationships/hyperlink" Target="https://www.inrs.fr/accueil/publications/bdd/fichetox/fiche.html?refINRS=FICHETOX_20&amp;section=pathologieToxicologie" TargetMode="External"/><Relationship Id="rId42" Type="http://schemas.openxmlformats.org/officeDocument/2006/relationships/hyperlink" Target="https://www.inrs.fr/accueil/publications/bdd/fichetox/fiche.html?refINRS=FICHETOX_20&amp;section=recommandations" TargetMode="External"/><Relationship Id="rId41" Type="http://schemas.openxmlformats.org/officeDocument/2006/relationships/hyperlink" Target="https://www.inrs.fr/accueil/publications/bdd/fichetox/fiche.html?refINRS=FICHETOX_20&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2026-07-06T11:40:06Z</dcterms:created>
  <dcterms:modified xsi:type="dcterms:W3CDTF">2026-07-06T11:40:06Z</dcterms:modified>
</cp:coreProperties>
</file>

<file path=docProps/custom.xml><?xml version="1.0" encoding="utf-8"?>
<Properties xmlns="http://schemas.openxmlformats.org/officeDocument/2006/custom-properties" xmlns:vt="http://schemas.openxmlformats.org/officeDocument/2006/docPropsVTypes"/>
</file>