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naoh1nvwr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VWR International Ltd.</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naoh1nvwr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6" w:name="analyse-des-dangers-naoh1nvwr"/>
    <w:p>
      <w:pPr>
        <w:pStyle w:val="Heading1"/>
      </w:pPr>
      <w:r>
        <w:t xml:space="preserve">Analyse des dangers : naoh1nvwr</w:t>
      </w:r>
    </w:p>
    <w:p>
      <w:pPr>
        <w:pStyle w:val="FirstParagraph"/>
      </w:pPr>
      <w:r>
        <w:t xml:space="preserve">Dans la suite, nous détaillons les dangers associés au produit</w:t>
      </w:r>
      <w:r>
        <w:t xml:space="preserve"> </w:t>
      </w:r>
      <w:r>
        <w:rPr>
          <w:b/>
          <w:bCs/>
        </w:rPr>
        <w:t xml:space="preserve">naoh1nvwr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VWR International Ltd.</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Please provide the text you would like me to translate into French.</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13,7</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Utilisations identifiées pertinentes : réactif chimique général.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2020-03-10</w:t>
            </w:r>
          </w:p>
        </w:tc>
      </w:tr>
    </w:tbl>
    <w:p>
      <w:pPr>
        <w:pStyle w:val="BodyText"/>
      </w:pPr>
      <w:r>
        <w:t xml:space="preserve"> </w:t>
      </w:r>
      <w:r>
        <w:t xml:space="preserve">La FDS date du 2020-03-10. Elle a donc 6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Substance Sodium hydroxide 1 mol/l (1 N) in aqueous solution AVS TITRINORM® should be classified H314 according to the latest ECHA harmonised classifications</w:t>
      </w:r>
      <w:r>
        <w:br/>
      </w:r>
    </w:p>
    <w:p>
      <w:pPr>
        <w:pStyle w:val="Compact"/>
        <w:numPr>
          <w:ilvl w:val="0"/>
          <w:numId w:val="1003"/>
        </w:numPr>
      </w:pPr>
      <w:r>
        <w:t xml:space="preserve">The product pH requires classification H314</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4"/>
        </w:numPr>
      </w:pPr>
      <w:r>
        <w:t xml:space="preserve">ADR : Please provide the text you would like me to translate into French.</w:t>
      </w:r>
    </w:p>
    <w:p>
      <w:pPr>
        <w:pStyle w:val="Compact"/>
        <w:numPr>
          <w:ilvl w:val="0"/>
          <w:numId w:val="1004"/>
        </w:numPr>
      </w:pPr>
      <w:r>
        <w:t xml:space="preserve">RID : Please provide the text you would like me to translate into French.</w:t>
      </w:r>
    </w:p>
    <w:p>
      <w:pPr>
        <w:pStyle w:val="Compact"/>
        <w:numPr>
          <w:ilvl w:val="0"/>
          <w:numId w:val="1004"/>
        </w:numPr>
      </w:pPr>
      <w:r>
        <w:t xml:space="preserve">ADN : Please provide the text you would like me to translate into French.</w:t>
      </w:r>
    </w:p>
    <w:p>
      <w:pPr>
        <w:pStyle w:val="Compact"/>
        <w:numPr>
          <w:ilvl w:val="0"/>
          <w:numId w:val="1004"/>
        </w:numPr>
      </w:pPr>
      <w:r>
        <w:t xml:space="preserve">IMDG : Please provide the text you would like me to translate into French.</w:t>
      </w:r>
    </w:p>
    <w:p>
      <w:pPr>
        <w:pStyle w:val="Compact"/>
        <w:numPr>
          <w:ilvl w:val="0"/>
          <w:numId w:val="1004"/>
        </w:numPr>
      </w:pPr>
      <w:r>
        <w:t xml:space="preserve">IATA : Please provide the text you would like me to translate into French.</w:t>
      </w:r>
    </w:p>
    <w:p>
      <w:pPr>
        <w:pStyle w:val="Compact"/>
        <w:numPr>
          <w:ilvl w:val="0"/>
          <w:numId w:val="1004"/>
        </w:numPr>
      </w:pPr>
      <w:r>
        <w:t xml:space="preserve">UN : Please provide the text you would like me to translate into French.</w:t>
      </w:r>
    </w:p>
    <w:bookmarkEnd w:id="30"/>
    <w:bookmarkStart w:id="31" w:name="Xda6f178de632779b007ca26fa4959a763d2c7f4"/>
    <w:p>
      <w:pPr>
        <w:pStyle w:val="Heading2"/>
      </w:pPr>
      <w:r>
        <w:t xml:space="preserve">Dangers et/ou mesures par voie d’exposition</w:t>
      </w:r>
    </w:p>
    <w:p>
      <w:pPr>
        <w:pStyle w:val="FirstParagraph"/>
      </w:pPr>
      <w:r>
        <w:t xml:space="preserve">peau : Please provide the text you would like me to translate into French.</w:t>
      </w:r>
    </w:p>
    <w:p>
      <w:pPr>
        <w:pStyle w:val="BodyText"/>
      </w:pPr>
      <w:r>
        <w:t xml:space="preserve">yeux : Please provide the text you would like me to translate into French.</w:t>
      </w:r>
    </w:p>
    <w:p>
      <w:pPr>
        <w:pStyle w:val="BodyText"/>
      </w:pPr>
      <w:r>
        <w:t xml:space="preserve">ingestion : Please provide the text you would like me to translate into French.</w:t>
      </w:r>
    </w:p>
    <w:p>
      <w:pPr>
        <w:pStyle w:val="BodyText"/>
      </w:pPr>
      <w:r>
        <w:t xml:space="preserve">inhalation : Please provide the text you would like me to translate into French.</w:t>
      </w:r>
    </w:p>
    <w:p>
      <w:r>
        <w:br w:type="page"/>
      </w:r>
    </w:p>
    <w:bookmarkEnd w:id="31"/>
    <w:bookmarkStart w:id="43" w:name="Xd3fd47f9279b52cc9d4b00e07bdfde0bea6594f"/>
    <w:p>
      <w:pPr>
        <w:pStyle w:val="Heading2"/>
      </w:pPr>
      <w:r>
        <w:t xml:space="preserve">Informations relatives aux substances dangereuses présentes</w:t>
      </w:r>
    </w:p>
    <w:bookmarkStart w:id="42" w:name="Xcd738525628f8dd957eb823bfbf2e3c74b77e4a"/>
    <w:p>
      <w:pPr>
        <w:pStyle w:val="Heading3"/>
      </w:pPr>
      <w:r>
        <w:t xml:space="preserve">Sodium hydroxide 1 mol/l (1 N) in aqueous solution AVS TITRINORM®</w:t>
      </w:r>
    </w:p>
    <w:p>
      <w:pPr>
        <w:pStyle w:val="FirstParagraph"/>
      </w:pPr>
      <w:r>
        <w:rPr>
          <w:b/>
          <w:bCs/>
        </w:rPr>
        <w:t xml:space="preserve">Identification</w:t>
      </w:r>
    </w:p>
    <w:p>
      <w:pPr>
        <w:pStyle w:val="Compact"/>
        <w:numPr>
          <w:ilvl w:val="0"/>
          <w:numId w:val="1005"/>
        </w:numPr>
      </w:pPr>
      <w:r>
        <w:t xml:space="preserve">N° CAS : 1310-73-2</w:t>
      </w:r>
    </w:p>
    <w:p>
      <w:pPr>
        <w:pStyle w:val="Compact"/>
        <w:numPr>
          <w:ilvl w:val="0"/>
          <w:numId w:val="1005"/>
        </w:numPr>
      </w:pPr>
      <w:r>
        <w:t xml:space="preserve">N° EINECS : None</w:t>
      </w:r>
    </w:p>
    <w:p>
      <w:pPr>
        <w:pStyle w:val="FirstParagraph"/>
      </w:pPr>
      <w:r>
        <w:rPr>
          <w:b/>
          <w:bCs/>
        </w:rPr>
        <w:t xml:space="preserve">Concentration</w:t>
      </w:r>
      <w:r>
        <w:t xml:space="preserve"> </w:t>
      </w:r>
      <w:r>
        <w:t xml:space="preserve">:de 1,0 à 1,0</w:t>
      </w:r>
    </w:p>
    <w:p>
      <w:pPr>
        <w:pStyle w:val="BodyText"/>
      </w:pPr>
      <w:r>
        <w:rPr>
          <w:b/>
          <w:bCs/>
        </w:rPr>
        <w:t xml:space="preserve">Dangers</w:t>
      </w:r>
      <w:r>
        <w:t xml:space="preserve"> </w:t>
      </w:r>
      <w:r>
        <w:t xml:space="preserve">:</w:t>
      </w:r>
    </w:p>
    <w:p>
      <w:pPr>
        <w:pStyle w:val="Compact"/>
        <w:numPr>
          <w:ilvl w:val="0"/>
          <w:numId w:val="1006"/>
        </w:numPr>
      </w:pPr>
      <w:r>
        <w:t xml:space="preserve">H314</w:t>
      </w:r>
      <w:r>
        <w:t xml:space="preserve"> </w:t>
      </w:r>
      <w:r>
        <w:t xml:space="preserve">Cause des brûlures cutanées et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2.0</w:t>
            </w:r>
          </w:p>
        </w:tc>
      </w:tr>
    </w:tbl>
    <w:bookmarkStart w:id="41" w:name="propriétés"/>
    <w:p>
      <w:pPr>
        <w:pStyle w:val="Heading4"/>
      </w:pPr>
      <w:r>
        <w:t xml:space="preserve">Propriétés</w:t>
      </w:r>
    </w:p>
    <w:p>
      <w:pPr>
        <w:pStyle w:val="FirstParagraph"/>
      </w:pPr>
      <w:hyperlink r:id="rId32">
        <w:r>
          <w:rPr>
            <w:rStyle w:val="Hyperlink"/>
            <w:color w:val="0856A0"/>
            <w:u w:val="single"/>
          </w:rPr>
          <w:t xml:space="preserve">FICHEAvril 2021Fiche n°20 - Hydroxyde de sodium et solutions aqueusesFiche présentant l’essentiel des données d’hygiène et de sécurité relatives à« Hydroxyde de sodium et solutions aqueuses »avec un rappel de la réglementation française et des recommandations techniques et médicales.En savoir plus</w:t>
        </w:r>
      </w:hyperlink>
    </w:p>
    <w:p>
      <w:pPr>
        <w:numPr>
          <w:ilvl w:val="0"/>
          <w:numId w:val="1007"/>
        </w:numPr>
      </w:pPr>
      <w:hyperlink r:id="rId33">
        <w:r>
          <w:rPr>
            <w:rStyle w:val="Hyperlink"/>
            <w:color w:val="0856A0"/>
            <w:u w:val="single"/>
          </w:rPr>
          <w:t xml:space="preserve">Généralités</w:t>
        </w:r>
      </w:hyperlink>
    </w:p>
    <w:p>
      <w:pPr>
        <w:numPr>
          <w:ilvl w:val="0"/>
          <w:numId w:val="1007"/>
        </w:numPr>
      </w:pPr>
      <w:hyperlink r:id="rId34">
        <w:r>
          <w:rPr>
            <w:rStyle w:val="Hyperlink"/>
            <w:color w:val="0856A0"/>
            <w:u w:val="single"/>
          </w:rPr>
          <w:t xml:space="preserve">Caractéristiques</w:t>
        </w:r>
      </w:hyperlink>
    </w:p>
    <w:p>
      <w:pPr>
        <w:numPr>
          <w:ilvl w:val="0"/>
          <w:numId w:val="1007"/>
        </w:numPr>
      </w:pPr>
      <w:hyperlink r:id="rId35">
        <w:r>
          <w:rPr>
            <w:rStyle w:val="Hyperlink"/>
            <w:color w:val="0856A0"/>
            <w:u w:val="single"/>
          </w:rPr>
          <w:t xml:space="preserve">VLEPMesurage</w:t>
        </w:r>
      </w:hyperlink>
    </w:p>
    <w:p>
      <w:pPr>
        <w:numPr>
          <w:ilvl w:val="0"/>
          <w:numId w:val="1007"/>
        </w:numPr>
      </w:pPr>
      <w:hyperlink r:id="rId36">
        <w:r>
          <w:rPr>
            <w:rStyle w:val="Hyperlink"/>
            <w:color w:val="0856A0"/>
            <w:u w:val="single"/>
          </w:rPr>
          <w:t xml:space="preserve">Incendie - Explosion[7, 8]</w:t>
        </w:r>
      </w:hyperlink>
    </w:p>
    <w:p>
      <w:pPr>
        <w:numPr>
          <w:ilvl w:val="0"/>
          <w:numId w:val="1007"/>
        </w:numPr>
      </w:pPr>
      <w:hyperlink r:id="rId37">
        <w:r>
          <w:rPr>
            <w:rStyle w:val="Hyperlink"/>
            <w:color w:val="0856A0"/>
            <w:u w:val="single"/>
          </w:rPr>
          <w:t xml:space="preserve">Pathologie - Toxicologie</w:t>
        </w:r>
      </w:hyperlink>
    </w:p>
    <w:p>
      <w:pPr>
        <w:numPr>
          <w:ilvl w:val="0"/>
          <w:numId w:val="1007"/>
        </w:numPr>
      </w:pPr>
      <w:hyperlink r:id="rId38">
        <w:r>
          <w:rPr>
            <w:rStyle w:val="Hyperlink"/>
            <w:color w:val="0856A0"/>
            <w:u w:val="single"/>
          </w:rPr>
          <w:t xml:space="preserve">Règlementation</w:t>
        </w:r>
      </w:hyperlink>
    </w:p>
    <w:p>
      <w:pPr>
        <w:numPr>
          <w:ilvl w:val="0"/>
          <w:numId w:val="1007"/>
        </w:numPr>
      </w:pPr>
      <w:hyperlink r:id="rId39">
        <w:r>
          <w:rPr>
            <w:rStyle w:val="Hyperlink"/>
            <w:color w:val="0856A0"/>
            <w:u w:val="single"/>
          </w:rPr>
          <w:t xml:space="preserve">Recommandations</w:t>
        </w:r>
      </w:hyperlink>
    </w:p>
    <w:p>
      <w:pPr>
        <w:numPr>
          <w:ilvl w:val="0"/>
          <w:numId w:val="1007"/>
        </w:numPr>
      </w:pPr>
      <w:hyperlink r:id="rId40">
        <w:r>
          <w:rPr>
            <w:rStyle w:val="Hyperlink"/>
            <w:color w:val="0856A0"/>
            <w:u w:val="single"/>
          </w:rPr>
          <w:t xml:space="preserve">Bibliographie</w:t>
        </w:r>
      </w:hyperlink>
    </w:p>
    <w:bookmarkEnd w:id="41"/>
    <w:bookmarkEnd w:id="42"/>
    <w:bookmarkEnd w:id="43"/>
    <w:bookmarkStart w:id="44"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Matériau : NBR (caoutchouc nitrile)</w:t>
            </w:r>
            <w:r>
              <w:rPr>
                <w:sz w:val="20"/>
                <w:szCs w:val="20"/>
              </w:rPr>
              <w:t xml:space="preserve"> </w:t>
            </w:r>
            <w:r>
              <w:rPr>
                <w:sz w:val="20"/>
                <w:szCs w:val="20"/>
              </w:rPr>
              <w:t xml:space="preserve"> </w:t>
            </w:r>
            <w:r>
              <w:rPr>
                <w:sz w:val="20"/>
                <w:szCs w:val="20"/>
              </w:rPr>
              <w:t xml:space="preserve">• Épaisseur : 0,12 mm</w:t>
            </w:r>
            <w:r>
              <w:rPr>
                <w:sz w:val="20"/>
                <w:szCs w:val="20"/>
              </w:rPr>
              <w:t xml:space="preserve"> </w:t>
            </w:r>
            <w:r>
              <w:rPr>
                <w:sz w:val="20"/>
                <w:szCs w:val="20"/>
              </w:rPr>
              <w:t xml:space="preserve"> </w:t>
            </w:r>
            <w:r>
              <w:rPr>
                <w:sz w:val="20"/>
                <w:szCs w:val="20"/>
              </w:rPr>
              <w:t xml:space="preserve">• Temps de percée (temps de port maximal) : &gt; 480 min</w:t>
            </w:r>
            <w:r>
              <w:rPr>
                <w:sz w:val="20"/>
                <w:szCs w:val="20"/>
              </w:rPr>
              <w:t xml:space="preserve"> </w:t>
            </w:r>
            <w:r>
              <w:rPr>
                <w:sz w:val="20"/>
                <w:szCs w:val="20"/>
              </w:rPr>
              <w:t xml:space="preserve"> </w:t>
            </w:r>
            <w:r>
              <w:rPr>
                <w:sz w:val="20"/>
                <w:szCs w:val="20"/>
              </w:rPr>
              <w:t xml:space="preserve">• Article recommandé : VWR 112-0998</w:t>
            </w:r>
            <w:r>
              <w:rPr>
                <w:sz w:val="20"/>
                <w:szCs w:val="20"/>
              </w:rPr>
              <w:t xml:space="preserve"> </w:t>
            </w:r>
            <w:r>
              <w:rPr>
                <w:sz w:val="20"/>
                <w:szCs w:val="20"/>
              </w:rPr>
              <w:t xml:space="preserve"> </w:t>
            </w:r>
            <w:r>
              <w:rPr>
                <w:sz w:val="20"/>
                <w:szCs w:val="20"/>
              </w:rPr>
              <w:t xml:space="preserve">• Matériau : NBR (caoutchouc nitrile)</w:t>
            </w:r>
            <w:r>
              <w:rPr>
                <w:sz w:val="20"/>
                <w:szCs w:val="20"/>
              </w:rPr>
              <w:t xml:space="preserve"> </w:t>
            </w:r>
            <w:r>
              <w:rPr>
                <w:sz w:val="20"/>
                <w:szCs w:val="20"/>
              </w:rPr>
              <w:t xml:space="preserve"> </w:t>
            </w:r>
            <w:r>
              <w:rPr>
                <w:sz w:val="20"/>
                <w:szCs w:val="20"/>
              </w:rPr>
              <w:t xml:space="preserve">• Épaisseur : 0,38 mm</w:t>
            </w:r>
            <w:r>
              <w:rPr>
                <w:sz w:val="20"/>
                <w:szCs w:val="20"/>
              </w:rPr>
              <w:t xml:space="preserve"> </w:t>
            </w:r>
            <w:r>
              <w:rPr>
                <w:sz w:val="20"/>
                <w:szCs w:val="20"/>
              </w:rPr>
              <w:t xml:space="preserve"> </w:t>
            </w:r>
            <w:r>
              <w:rPr>
                <w:sz w:val="20"/>
                <w:szCs w:val="20"/>
              </w:rPr>
              <w:t xml:space="preserve">• Temps de percée (temps de port maximal) : &gt; 480 min</w:t>
            </w:r>
            <w:r>
              <w:rPr>
                <w:sz w:val="20"/>
                <w:szCs w:val="20"/>
              </w:rPr>
              <w:t xml:space="preserve"> </w:t>
            </w:r>
            <w:r>
              <w:rPr>
                <w:sz w:val="20"/>
                <w:szCs w:val="20"/>
              </w:rPr>
              <w:t xml:space="preserve"> </w:t>
            </w:r>
            <w:r>
              <w:rPr>
                <w:sz w:val="20"/>
                <w:szCs w:val="20"/>
              </w:rPr>
              <w:t xml:space="preserve">• Articles recommandés : VWR 112-3717 / 112-1381</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avec protection latérale (DIN EN 166)</w:t>
            </w:r>
            <w:r>
              <w:rPr>
                <w:sz w:val="20"/>
                <w:szCs w:val="20"/>
              </w:rPr>
              <w:t xml:space="preserve"> </w:t>
            </w:r>
            <w:r>
              <w:rPr>
                <w:sz w:val="20"/>
                <w:szCs w:val="20"/>
              </w:rPr>
              <w:t xml:space="preserve">• Recommandation : VWR 111-0432</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Please provide the text you would like me to translate into French.</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Masques de visage complets, demi-masques ou quarts de masque (DIN EN 136/140)</w:t>
            </w:r>
            <w:r>
              <w:rPr>
                <w:sz w:val="20"/>
                <w:szCs w:val="20"/>
              </w:rPr>
              <w:t xml:space="preserve"> </w:t>
            </w:r>
            <w:r>
              <w:rPr>
                <w:sz w:val="20"/>
                <w:szCs w:val="20"/>
              </w:rPr>
              <w:t xml:space="preserve"> </w:t>
            </w:r>
            <w:r>
              <w:rPr>
                <w:sz w:val="20"/>
                <w:szCs w:val="20"/>
              </w:rPr>
              <w:t xml:space="preserve">• Recommandation : VWR 111-0206</w:t>
            </w:r>
            <w:r>
              <w:rPr>
                <w:sz w:val="20"/>
                <w:szCs w:val="20"/>
              </w:rPr>
              <w:t xml:space="preserve"> </w:t>
            </w:r>
            <w:r>
              <w:rPr>
                <w:sz w:val="20"/>
                <w:szCs w:val="20"/>
              </w:rPr>
              <w:t xml:space="preserve"> </w:t>
            </w:r>
            <w:r>
              <w:rPr>
                <w:sz w:val="20"/>
                <w:szCs w:val="20"/>
              </w:rPr>
              <w:t xml:space="preserve">• Matière adaptée : ABEK2P3</w:t>
            </w:r>
            <w:r>
              <w:rPr>
                <w:sz w:val="20"/>
                <w:szCs w:val="20"/>
              </w:rPr>
              <w:t xml:space="preserve"> </w:t>
            </w:r>
            <w:r>
              <w:rPr>
                <w:sz w:val="20"/>
                <w:szCs w:val="20"/>
              </w:rPr>
              <w:t xml:space="preserve"> </w:t>
            </w:r>
            <w:r>
              <w:rPr>
                <w:sz w:val="20"/>
                <w:szCs w:val="20"/>
              </w:rPr>
              <w:t xml:space="preserve">• Recommandation pour la matière : VWR 111-0059</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Portez des vêtements de protection appropriés portant l’étiquette CE, y compris les quatre chiffres de contrôle (tels que requis pour la manipulation de substances chimiques).</w:t>
            </w:r>
          </w:p>
        </w:tc>
      </w:tr>
    </w:tbl>
    <w:bookmarkEnd w:id="44"/>
    <w:bookmarkStart w:id="45"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Précautions pour une manipulation sûre (selon le document) 1. Évitez l’inhalation - ne respirez pas la substance. 2. Évitez tout contact avec les yeux et la peau - gardez la substance loin du visage et du corps. 3. Utilisez une hotte aspirante (laboratoire) - travaillez sous une hotte à fumées. 4. Si la manipulation est effectuée sans couverture, prévoyez une ventilation locale par aspiration - assurez une ventilation adéquate. 5. Si la ventilation locale par aspiration n’est pas possible ou insuffisante, ventilez tout l’espace de travail par des moyens techniques - utilisez une ventilation mécanique. 6. Protégez de l’humidité - gardez la substance au sec. Équipements de protection individuelle (EPI) - Vêtements de protection - portez des vêtements de protection adaptés portant le marquage CE, y compris les quatre chiffres de contrôle. - Protection des yeux/du visage - lunettes avec protection latérale (DIN EN 166); produit recommandé VWR 111‑0432. - Protection de la peau - gants portant le marquage CE, y compris les quatre chiffres de contrôle. -</w:t>
            </w:r>
            <w:r>
              <w:rPr>
                <w:sz w:val="20"/>
                <w:szCs w:val="20"/>
              </w:rPr>
              <w:t xml:space="preserve"> </w:t>
            </w:r>
            <w:r>
              <w:rPr>
                <w:sz w:val="20"/>
                <w:szCs w:val="20"/>
              </w:rPr>
              <w:t xml:space="preserve">Contact manuel à court terme</w:t>
            </w:r>
            <w:r>
              <w:rPr>
                <w:sz w:val="20"/>
                <w:szCs w:val="20"/>
              </w:rPr>
              <w:t xml:space="preserve"> </w:t>
            </w:r>
            <w:r>
              <w:rPr>
                <w:sz w:val="20"/>
                <w:szCs w:val="20"/>
              </w:rPr>
              <w:t xml:space="preserve">: NBR (caoutchouc nitrile), épaisseur 0,12 mm, temps de percée &gt; 480 min, gant recommandé VWR 112‑0998. -</w:t>
            </w:r>
            <w:r>
              <w:rPr>
                <w:sz w:val="20"/>
                <w:szCs w:val="20"/>
              </w:rPr>
              <w:t xml:space="preserve"> </w:t>
            </w:r>
            <w:r>
              <w:rPr>
                <w:sz w:val="20"/>
                <w:szCs w:val="20"/>
              </w:rPr>
              <w:t xml:space="preserve">Contact manuel à long terme</w:t>
            </w:r>
            <w:r>
              <w:rPr>
                <w:sz w:val="20"/>
                <w:szCs w:val="20"/>
              </w:rPr>
              <w:t xml:space="preserve"> </w:t>
            </w:r>
            <w:r>
              <w:rPr>
                <w:sz w:val="20"/>
                <w:szCs w:val="20"/>
              </w:rPr>
              <w:t xml:space="preserve">: NBR (caoutchouc nitrile), épaisseur 0,38 mm, temps de percée &gt; 480 min, gants recommandés VWR 112‑3717 / 112‑1381. - Protection respiratoire - requise lorsque des aérosols ou une brume se forment. - Masques demi-masque/quart de masque (DIN EN 136/140); produit recommandé VWR 111‑0206. - Matière adaptée : ABEK2P3; produit recommandé VWR 111‑0059. Mesures d’hygiène supplémentaires - Lavez-vous les mains avant les pauses et après le travail. - Évitez tout contact avec les yeux et la peau. - Ne mangez, ne buvez ni ne fumez pendant la manipulation. - Prévoyez une douche oculaire et indiquez clairement son emplacement.</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en toute sécurité - Température de stockage recommandée : 15 – 25 °C - Classe de stockage : 8B - Garder le récipient bien fermé et dans un endroit bien ventilé. Incompatibilités potentielles - Matériaux incompatibles: - Substances organiques - Métaux (y compris les métaux légers) - Réactions dangereuses: - Formation de mélanges explosifs avec des métaux, des bases et des métaux légers (libération d’hydrogène) - Réaction violente avec des acides et des agents oxydants forts.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Utilisations identifiées pertinentes : réactif chimique général.</w:t>
            </w:r>
          </w:p>
        </w:tc>
      </w:tr>
    </w:tbl>
    <w:bookmarkEnd w:id="45"/>
    <w:bookmarkEnd w:id="46"/>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32" Type="http://schemas.openxmlformats.org/officeDocument/2006/relationships/hyperlink" Target="https://www.inrs.fr/accueil/publications/bdd/fichetox/fiche.html?refINRS=FICHETOX_20" TargetMode="External"/><Relationship Id="rId35" Type="http://schemas.openxmlformats.org/officeDocument/2006/relationships/hyperlink" Target="https://www.inrs.fr/accueil/publications/bdd/fichetox/fiche.html?refINRS=FICHETOX_20&amp;section=VLEPMesurage" TargetMode="External"/><Relationship Id="rId40" Type="http://schemas.openxmlformats.org/officeDocument/2006/relationships/hyperlink" Target="https://www.inrs.fr/accueil/publications/bdd/fichetox/fiche.html?refINRS=FICHETOX_20&amp;section=bibliographieAuteurs" TargetMode="External"/><Relationship Id="rId34" Type="http://schemas.openxmlformats.org/officeDocument/2006/relationships/hyperlink" Target="https://www.inrs.fr/accueil/publications/bdd/fichetox/fiche.html?refINRS=FICHETOX_20&amp;section=caracteristiques" TargetMode="External"/><Relationship Id="rId33" Type="http://schemas.openxmlformats.org/officeDocument/2006/relationships/hyperlink" Target="https://www.inrs.fr/accueil/publications/bdd/fichetox/fiche.html?refINRS=FICHETOX_20&amp;section=generalites" TargetMode="External"/><Relationship Id="rId36" Type="http://schemas.openxmlformats.org/officeDocument/2006/relationships/hyperlink" Target="https://www.inrs.fr/accueil/publications/bdd/fichetox/fiche.html?refINRS=FICHETOX_20&amp;section=incendieExplosion" TargetMode="External"/><Relationship Id="rId37" Type="http://schemas.openxmlformats.org/officeDocument/2006/relationships/hyperlink" Target="https://www.inrs.fr/accueil/publications/bdd/fichetox/fiche.html?refINRS=FICHETOX_20&amp;section=pathologieToxicologie" TargetMode="External"/><Relationship Id="rId39" Type="http://schemas.openxmlformats.org/officeDocument/2006/relationships/hyperlink" Target="https://www.inrs.fr/accueil/publications/bdd/fichetox/fiche.html?refINRS=FICHETOX_20&amp;section=recommandations" TargetMode="External"/><Relationship Id="rId38" Type="http://schemas.openxmlformats.org/officeDocument/2006/relationships/hyperlink" Target="https://www.inrs.fr/accueil/publications/bdd/fichetox/fiche.html?refINRS=FICHETOX_20&amp;section=reglementation" TargetMode="External"/></Relationships>
</file>

<file path=word/_rels/footnotes.xml.rels><?xml version='1.0' encoding='UTF-8' standalone='yes'?>
<Relationships xmlns="http://schemas.openxmlformats.org/package/2006/relationships"><Relationship Id="rId32" Type="http://schemas.openxmlformats.org/officeDocument/2006/relationships/hyperlink" Target="https://www.inrs.fr/accueil/publications/bdd/fichetox/fiche.html?refINRS=FICHETOX_20" TargetMode="External"/><Relationship Id="rId35" Type="http://schemas.openxmlformats.org/officeDocument/2006/relationships/hyperlink" Target="https://www.inrs.fr/accueil/publications/bdd/fichetox/fiche.html?refINRS=FICHETOX_20&amp;section=VLEPMesurage" TargetMode="External"/><Relationship Id="rId40" Type="http://schemas.openxmlformats.org/officeDocument/2006/relationships/hyperlink" Target="https://www.inrs.fr/accueil/publications/bdd/fichetox/fiche.html?refINRS=FICHETOX_20&amp;section=bibliographieAuteurs" TargetMode="External"/><Relationship Id="rId34" Type="http://schemas.openxmlformats.org/officeDocument/2006/relationships/hyperlink" Target="https://www.inrs.fr/accueil/publications/bdd/fichetox/fiche.html?refINRS=FICHETOX_20&amp;section=caracteristiques" TargetMode="External"/><Relationship Id="rId33" Type="http://schemas.openxmlformats.org/officeDocument/2006/relationships/hyperlink" Target="https://www.inrs.fr/accueil/publications/bdd/fichetox/fiche.html?refINRS=FICHETOX_20&amp;section=generalites" TargetMode="External"/><Relationship Id="rId36" Type="http://schemas.openxmlformats.org/officeDocument/2006/relationships/hyperlink" Target="https://www.inrs.fr/accueil/publications/bdd/fichetox/fiche.html?refINRS=FICHETOX_20&amp;section=incendieExplosion" TargetMode="External"/><Relationship Id="rId37" Type="http://schemas.openxmlformats.org/officeDocument/2006/relationships/hyperlink" Target="https://www.inrs.fr/accueil/publications/bdd/fichetox/fiche.html?refINRS=FICHETOX_20&amp;section=pathologieToxicologie" TargetMode="External"/><Relationship Id="rId39" Type="http://schemas.openxmlformats.org/officeDocument/2006/relationships/hyperlink" Target="https://www.inrs.fr/accueil/publications/bdd/fichetox/fiche.html?refINRS=FICHETOX_20&amp;section=recommandations" TargetMode="External"/><Relationship Id="rId38" Type="http://schemas.openxmlformats.org/officeDocument/2006/relationships/hyperlink" Target="https://www.inrs.fr/accueil/publications/bdd/fichetox/fiche.html?refINRS=FICHETOX_20&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2026-07-06T11:42:53Z</dcterms:created>
  <dcterms:modified xsi:type="dcterms:W3CDTF">2026-07-06T11:42:53Z</dcterms:modified>
</cp:coreProperties>
</file>

<file path=docProps/custom.xml><?xml version="1.0" encoding="utf-8"?>
<Properties xmlns="http://schemas.openxmlformats.org/officeDocument/2006/custom-properties" xmlns:vt="http://schemas.openxmlformats.org/officeDocument/2006/docPropsVTypes"/>
</file>