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ninbiomerieux70491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ninbiomerieux70491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analyse-des-dangers-ninbiomerieux70491"/>
    <w:p>
      <w:pPr>
        <w:pStyle w:val="Heading1"/>
      </w:pPr>
      <w:r>
        <w:t xml:space="preserve">Analyse des dangers : ninbiomerieux70491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ninbiomerieux70491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2023-05-24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2023-05-24.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42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Toxicité aiguë" title="" id="34" name="Picture"/>
            <a:graphic>
              <a:graphicData uri="http://schemas.openxmlformats.org/drawingml/2006/picture">
                <pic:pic>
                  <pic:nvPicPr>
                    <pic:cNvPr descr="templates/SGH06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  <w:r>
        <w:t xml:space="preserve"> </w:t>
      </w:r>
      <w:r>
        <w:drawing>
          <wp:inline>
            <wp:extent cx="719999" cy="719999"/>
            <wp:effectExtent b="0" l="0" r="0" t="0"/>
            <wp:docPr descr="Nocif / Irritant" title="" id="37" name="Picture"/>
            <a:graphic>
              <a:graphicData uri="http://schemas.openxmlformats.org/drawingml/2006/picture">
                <pic:pic>
                  <pic:nvPicPr>
                    <pic:cNvPr descr="templates/SGH07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40" name="Picture"/>
            <a:graphic>
              <a:graphicData uri="http://schemas.openxmlformats.org/drawingml/2006/picture">
                <pic:pic>
                  <pic:nvPicPr>
                    <pic:cNvPr descr="templates/SGH08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3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03"/>
        </w:numPr>
      </w:pPr>
      <w:r>
        <w:t xml:space="preserve">H370</w:t>
      </w:r>
      <w:r>
        <w:t xml:space="preserve"> </w:t>
      </w:r>
      <w:r>
        <w:t xml:space="preserve">Risque avéré d’effets graves pour les organes.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P235</w:t>
      </w:r>
      <w:r>
        <w:t xml:space="preserve"> </w:t>
      </w:r>
      <w:r>
        <w:t xml:space="preserve">Tenir au frais.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P308+P311</w:t>
      </w:r>
      <w:r>
        <w:t xml:space="preserve"> </w:t>
      </w:r>
      <w:r>
        <w:t xml:space="preserve">EN CAS d’exposition prouvée ou suspectée:</w:t>
      </w:r>
    </w:p>
    <w:p>
      <w:pPr>
        <w:numPr>
          <w:ilvl w:val="0"/>
          <w:numId w:val="1004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3, risque subsidiaire 6.1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3, risque subsidiaire 6.1</w:t>
      </w:r>
    </w:p>
    <w:p>
      <w:pPr>
        <w:pStyle w:val="Compact"/>
        <w:numPr>
          <w:ilvl w:val="0"/>
          <w:numId w:val="1005"/>
        </w:numPr>
      </w:pPr>
      <w:r>
        <w:t xml:space="preserve">IATA : classe 3, risque subsidiaire 6.1</w:t>
      </w:r>
    </w:p>
    <w:p>
      <w:pPr>
        <w:pStyle w:val="Compact"/>
        <w:numPr>
          <w:ilvl w:val="0"/>
          <w:numId w:val="1005"/>
        </w:numPr>
      </w:pPr>
      <w:r>
        <w:t xml:space="preserve">UN : UN1992</w:t>
      </w:r>
    </w:p>
    <w:bookmarkEnd w:id="42"/>
    <w:bookmarkStart w:id="43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tous les vêtements contaminés.</w:t>
      </w:r>
      <w:r>
        <w:t xml:space="preserve"> </w:t>
      </w:r>
      <w:r>
        <w:t xml:space="preserve">• Rincer immédiatement la peau à grande eau.</w:t>
      </w:r>
      <w:r>
        <w:t xml:space="preserve"> </w:t>
      </w:r>
      <w:r>
        <w:t xml:space="preserve">• En cas de contact cutané mineur, éviter d’étaler la substance sur la peau non contaminée.</w:t>
      </w:r>
      <w:r>
        <w:t xml:space="preserve"> 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eyes : • Laver immédiatement les yeux à grande eau pendant au moins 15 minutes.</w:t>
      </w:r>
      <w:r>
        <w:t xml:space="preserve"> </w:t>
      </w:r>
      <w:r>
        <w:t xml:space="preserve">• Les personnes portant des lentilles de contact doivent les enlever autant que possible.</w:t>
      </w:r>
      <w:r>
        <w:t xml:space="preserve"> </w:t>
      </w:r>
      <w:r>
        <w:t xml:space="preserve">• Continuer à rincer continuellement.</w:t>
      </w:r>
      <w:r>
        <w:t xml:space="preserve"> 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ingestion : • En cas d’ingestion, appeler immédiatement un centre antipoison ou un médecin.</w:t>
      </w:r>
      <w:r>
        <w:t xml:space="preserve"> </w:t>
      </w:r>
      <w:r>
        <w:t xml:space="preserve">• Rincer la bouche.</w:t>
      </w:r>
      <w:r>
        <w:t xml:space="preserve"> </w:t>
      </w:r>
      <w:r>
        <w:t xml:space="preserve">• Ne jamais faire avaler quelque chose à une victime inconsciente ou souffrant de convulsions.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En cas de vomissement, garder la tête basse pour éviter une pénétration du contenu de l’estomac dans les poumons.</w:t>
      </w:r>
      <w:r>
        <w:t xml:space="preserve"> </w:t>
      </w:r>
      <w:r>
        <w:t xml:space="preserve">• Ne pas utiliser le bouche‑à‑bouche si la victime a ingéré la substance.</w:t>
      </w:r>
      <w:r>
        <w:t xml:space="preserve"> </w:t>
      </w:r>
      <w:r>
        <w:t xml:space="preserve">• Consulter un médecin en cas de symptômes.</w:t>
      </w:r>
    </w:p>
    <w:p>
      <w:pPr>
        <w:pStyle w:val="BodyText"/>
      </w:pPr>
      <w:r>
        <w:t xml:space="preserve">inhalation : • Transporter la victime à l’extérieur.</w:t>
      </w:r>
      <w:r>
        <w:t xml:space="preserve"> </w:t>
      </w:r>
      <w:r>
        <w:t xml:space="preserve">• La maintenir dans une position où elle peut respirer confortablement.</w:t>
      </w:r>
      <w:r>
        <w:t xml:space="preserve"> </w:t>
      </w:r>
      <w:r>
        <w:t xml:space="preserve">• Fournir de l’oxygène ou une respiration artificielle si nécessaire.</w:t>
      </w:r>
      <w:r>
        <w:t xml:space="preserve"> </w:t>
      </w:r>
      <w:r>
        <w:t xml:space="preserve">• Ne pas utiliser le bouche‑à‑bouche si la victime a inhalé la substance.</w:t>
      </w:r>
      <w:r>
        <w:t xml:space="preserve"> </w:t>
      </w:r>
      <w:r>
        <w:t xml:space="preserve">• Contacter un médecin si les symptômes se développent ou persistent.</w:t>
      </w:r>
    </w:p>
    <w:p>
      <w:r>
        <w:br w:type="page"/>
      </w:r>
    </w:p>
    <w:bookmarkEnd w:id="43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méthanol"/>
    <w:p>
      <w:pPr>
        <w:pStyle w:val="Heading3"/>
      </w:pPr>
      <w:r>
        <w:t xml:space="preserve">Méthanol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67-66-1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40.0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7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07"/>
        </w:numPr>
      </w:pPr>
      <w:r>
        <w:t xml:space="preserve">H370</w:t>
      </w:r>
      <w:r>
        <w:t xml:space="preserve"> </w:t>
      </w:r>
      <w:r>
        <w:t xml:space="preserve">Risque avéré d’effets graves pour les organes.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Start w:id="47" w:name="ninhydrine"/>
    <w:p>
      <w:pPr>
        <w:pStyle w:val="Heading3"/>
      </w:pPr>
      <w:r>
        <w:t xml:space="preserve">Ninhydrine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485-47-2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Utiliser des gants de protection en : Nitrile. Suivre les recommandations du fournisseur pour le choix des gants adéquats.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 Porter des lunettes de sécurité à écrans latéraux.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Aucun équipement de protection respiratoire individuel n’est normalement nécessaire. Lorsque les travailleurs sont confrontés à des concentrations supérieures aux limites d’exposition, ils doivent porter des masques appropriés et agréés.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Porter un vêtement de protection approprié.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Peut être enflammé par une flamme ouverte. - Ventilation antidéflagrante générale et localisée. - Éviter l’accumulation de charges électrostatiques. - Utiliser des outils anti‑étincelle et de l’équipement antidéflagrant. - Éviter l’inhalation de vapeurs et d’aérosols. - Éviter le contact avec les yeux, la peau et les vêtements. - Éviter toute exposition prolongée. - Lors de l’utilisation, ne pas manger, boire ou fumer. - Porter un équipement de protection approprié. - Se laver les mains soigneusement après manipulation.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manipuler ou stocker à proximité d’une flamme nue, d’une source de chaleur ou de toute autre source d’ignition. - Température de stockage : entre 2 °C et 8 °C. - Conserver dans l’emballage d’origine à fermeture étanche. - Stocker dans un endroit bien ventilé. - Conserver dans un endroit équipé de sprinklers.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39" Type="http://schemas.openxmlformats.org/officeDocument/2006/relationships/image" Target="media/rId39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2026-07-06T11:44:41Z</dcterms:created>
  <dcterms:modified xsi:type="dcterms:W3CDTF">2026-07-06T11:44:41Z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